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162" w:rsidRPr="00896EFC" w:rsidRDefault="00B73732" w:rsidP="0033136E">
      <w:pPr>
        <w:jc w:val="both"/>
        <w:rPr>
          <w:sz w:val="20"/>
          <w:szCs w:val="20"/>
          <w:lang w:val="es-ES"/>
        </w:rPr>
      </w:pPr>
      <w:r w:rsidRPr="00B73732">
        <w:rPr>
          <w:b/>
          <w:caps/>
          <w:noProof/>
          <w:color w:val="E36C0A" w:themeColor="accent6" w:themeShade="BF"/>
          <w:sz w:val="20"/>
          <w:szCs w:val="20"/>
          <w:lang w:val="es-ES" w:eastAsia="es-ES"/>
        </w:rPr>
        <w:pict>
          <v:shape id="Arc 13" o:spid="_x0000_s1035" style="position:absolute;left:0;text-align:left;margin-left:271.35pt;margin-top:-129.7pt;width:100.85pt;height:82.1pt;rotation:-11358913fd;flip:x;z-index:25168179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" adj="0,,0" path="m-1,nfc5355,,10520,1989,14492,5583em-1,nsc5355,,10520,1989,14492,5583l,21600,-1,xe" filled="f" strokecolor="white [3212]" strokeweight="6pt">
            <v:stroke joinstyle="round"/>
            <v:formulas/>
            <v:path arrowok="t" o:extrusionok="f" o:connecttype="custom" o:connectlocs="0,0;1280795,269550;0,1042670" o:connectangles="0,0,0"/>
          </v:shape>
        </w:pict>
      </w:r>
      <w:r>
        <w:rPr>
          <w:noProof/>
          <w:sz w:val="20"/>
          <w:szCs w:val="20"/>
          <w:lang w:val="es-ES" w:eastAsia="es-ES"/>
        </w:rPr>
        <w:pict>
          <v:shape id="Arc 16" o:spid="_x0000_s1038" style="position:absolute;left:0;text-align:left;margin-left:216.95pt;margin-top:-15.1pt;width:128.7pt;height:102.2pt;rotation:-3014994fd;flip:x;z-index:251681279;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" adj="0,,0" path="m-1,nfc5253,,10327,1914,14271,5385em-1,nsc5253,,10327,1914,14271,5385l,21600,-1,xe" filled="f" strokecolor="white [3212]" strokeweight="6pt">
            <v:stroke joinstyle="round"/>
            <v:formulas/>
            <v:path arrowok="t" o:extrusionok="f" o:connecttype="custom" o:connectlocs="0,0;1169670,323644;0,1297940" o:connectangles="0,0,0"/>
          </v:shape>
        </w:pict>
      </w:r>
      <w:r w:rsidRPr="00B73732">
        <w:rPr>
          <w:b/>
          <w:caps/>
          <w:noProof/>
          <w:color w:val="E36C0A" w:themeColor="accent6" w:themeShade="BF"/>
          <w:sz w:val="20"/>
          <w:szCs w:val="20"/>
          <w:lang w:val="es-ES" w:eastAsia="es-ES"/>
        </w:rPr>
        <w:pict>
          <v:shape id="Arc 12" o:spid="_x0000_s1034" style="position:absolute;left:0;text-align:left;margin-left:-96.75pt;margin-top:-56.55pt;width:226.95pt;height:74.95pt;rotation:180;flip:x;z-index:251665343;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" adj="0,,0" path="m-1,nfc8461,,16144,4941,19654,12640em-1,nsc8461,,16144,4941,19654,12640l,21600,-1,xe" filled="f" strokecolor="white [3212]" strokeweight="6pt">
            <v:stroke joinstyle="round"/>
            <v:formulas/>
            <v:path arrowok="t" o:extrusionok="f" o:connecttype="custom" o:connectlocs="0,0;2428875,557061;0,951865" o:connectangles="0,0,0"/>
          </v:shape>
        </w:pict>
      </w:r>
      <w:r>
        <w:rPr>
          <w:noProof/>
          <w:sz w:val="20"/>
          <w:szCs w:val="20"/>
          <w:lang w:val="es-ES" w:eastAsia="es-ES"/>
        </w:rPr>
        <w:pict>
          <v:shape id="Arc 11" o:spid="_x0000_s1033" style="position:absolute;left:0;text-align:left;margin-left:-96.75pt;margin-top:-40.45pt;width:213.45pt;height:74.95pt;rotation:180;flip:x;z-index:25167974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" adj="0,,0" path="m-1,nfc9097,,17219,5699,20312,14255em-1,nsc9097,,17219,5699,20312,14255l,21600,-1,xe" filled="f" strokecolor="white [3212]" strokeweight="3pt">
            <v:stroke joinstyle="round"/>
            <v:formulas/>
            <v:path arrowok="t" o:extrusionok="f" o:connecttype="custom" o:connectlocs="0,0;2501265,628187;0,951865" o:connectangles="0,0,0"/>
          </v:shape>
        </w:pict>
      </w:r>
      <w:r>
        <w:rPr>
          <w:noProof/>
          <w:sz w:val="20"/>
          <w:szCs w:val="20"/>
          <w:lang w:val="es-ES" w:eastAsia="es-ES"/>
        </w:rPr>
        <w:pict>
          <v:shapetype id="_x0000_t202" coordsize="21600,21600" o:spt="202" path="m,l,21600r21600,l21600,xe">
            <v:stroke joinstyle="miter"/>
            <v:path gradientshapeok="t" o:connecttype="rect"/>
          </v:shapetype>
          <v:shape id="_x0000_s1032" type="#_x0000_t202" style="position:absolute;left:0;text-align:left;margin-left:167.4pt;margin-top:-23.8pt;width:204.8pt;height:46.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" filled="f" stroked="f">
            <v:textbox style="mso-next-textbox:#_x0000_s1032">
              <w:txbxContent>
                <w:p w:rsidR="00755162" w:rsidRPr="00AD38F6" w:rsidRDefault="00755162" w:rsidP="00755162">
                  <w:pPr>
                    <w:rPr>
                      <w:b/>
                      <w:sz w:val="48"/>
                      <w:szCs w:val="48"/>
                      <w:lang w:val="es-ES"/>
                    </w:rPr>
                  </w:pPr>
                  <w:r w:rsidRPr="00AD38F6">
                    <w:rPr>
                      <w:b/>
                      <w:sz w:val="48"/>
                      <w:szCs w:val="48"/>
                      <w:lang w:val="es-ES"/>
                    </w:rPr>
                    <w:t>CONSUMO</w:t>
                  </w:r>
                </w:p>
              </w:txbxContent>
            </v:textbox>
          </v:shape>
        </w:pict>
      </w:r>
      <w:r>
        <w:rPr>
          <w:noProof/>
          <w:sz w:val="20"/>
          <w:szCs w:val="20"/>
          <w:lang w:val="es-ES" w:eastAsia="es-ES"/>
        </w:rPr>
        <w:pict>
          <v:shape id="Cuadro de texto 2" o:spid="_x0000_s1026" type="#_x0000_t202" style="position:absolute;left:0;text-align:left;margin-left:361.6pt;margin-top:18.4pt;width:147.75pt;height:46.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" filled="f" stroked="f">
            <v:textbox style="mso-next-textbox:#Cuadro de texto 2">
              <w:txbxContent>
                <w:p w:rsidR="00780804" w:rsidRPr="00AD38F6" w:rsidRDefault="00EA49D6" w:rsidP="00780804">
                  <w:pPr>
                    <w:rPr>
                      <w:b/>
                      <w:lang w:val="es-ES"/>
                    </w:rPr>
                  </w:pPr>
                  <w:r>
                    <w:rPr>
                      <w:b/>
                      <w:lang w:val="es-ES"/>
                    </w:rPr>
                    <w:t xml:space="preserve">   </w:t>
                  </w:r>
                  <w:r w:rsidR="00ED443D">
                    <w:rPr>
                      <w:b/>
                      <w:lang w:val="es-ES"/>
                    </w:rPr>
                    <w:t>OCTUBRE-DICIEMBRE</w:t>
                  </w:r>
                  <w:r w:rsidR="0033136E">
                    <w:rPr>
                      <w:b/>
                      <w:lang w:val="es-ES"/>
                    </w:rPr>
                    <w:t xml:space="preserve"> 2017</w:t>
                  </w:r>
                </w:p>
              </w:txbxContent>
            </v:textbox>
          </v:shape>
        </w:pict>
      </w:r>
      <w:r>
        <w:rPr>
          <w:noProof/>
          <w:sz w:val="20"/>
          <w:szCs w:val="20"/>
          <w:lang w:val="es-ES" w:eastAsia="es-ES"/>
        </w:rPr>
        <w:pict>
          <v:shape id="_x0000_s1027" type="#_x0000_t202" style="position:absolute;left:0;text-align:left;margin-left:362.95pt;margin-top:-59.6pt;width:141.75pt;height:99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" filled="f" stroked="f">
            <v:textbox style="mso-next-textbox:#_x0000_s1027">
              <w:txbxContent>
                <w:p w:rsidR="00780804" w:rsidRPr="00AD38F6" w:rsidRDefault="00780804" w:rsidP="00780804">
                  <w:pPr>
                    <w:spacing w:after="0" w:line="240" w:lineRule="auto"/>
                    <w:jc w:val="center"/>
                    <w:rPr>
                      <w:b/>
                      <w:color w:val="FFFFFF" w:themeColor="background1"/>
                      <w:sz w:val="16"/>
                      <w:szCs w:val="16"/>
                      <w:lang w:val="es-ES"/>
                    </w:rPr>
                  </w:pPr>
                  <w:r w:rsidRPr="00AD38F6">
                    <w:rPr>
                      <w:b/>
                      <w:color w:val="FFFFFF" w:themeColor="background1"/>
                      <w:sz w:val="16"/>
                      <w:szCs w:val="16"/>
                      <w:lang w:val="es-ES"/>
                    </w:rPr>
                    <w:t>A cargo de:</w:t>
                  </w:r>
                </w:p>
                <w:p w:rsidR="00780804" w:rsidRPr="00AD38F6" w:rsidRDefault="00780804" w:rsidP="00780804">
                  <w:pPr>
                    <w:spacing w:after="0" w:line="240" w:lineRule="auto"/>
                    <w:jc w:val="center"/>
                    <w:rPr>
                      <w:b/>
                      <w:color w:val="FFFFFF" w:themeColor="background1"/>
                      <w:sz w:val="16"/>
                      <w:szCs w:val="16"/>
                      <w:lang w:val="es-ES"/>
                    </w:rPr>
                  </w:pPr>
                  <w:r w:rsidRPr="00AD38F6">
                    <w:rPr>
                      <w:b/>
                      <w:color w:val="FFFFFF" w:themeColor="background1"/>
                      <w:sz w:val="16"/>
                      <w:szCs w:val="16"/>
                      <w:lang w:val="es-ES"/>
                    </w:rPr>
                    <w:t>D. Víctor Bastante Granell</w:t>
                  </w:r>
                </w:p>
                <w:p w:rsidR="00780804" w:rsidRDefault="00AA0288" w:rsidP="00780804">
                  <w:pPr>
                    <w:spacing w:after="0" w:line="240" w:lineRule="auto"/>
                    <w:jc w:val="center"/>
                    <w:rPr>
                      <w:b/>
                      <w:color w:val="FFFFFF" w:themeColor="background1"/>
                      <w:sz w:val="16"/>
                      <w:szCs w:val="16"/>
                      <w:lang w:val="es-ES"/>
                    </w:rPr>
                  </w:pPr>
                  <w:r>
                    <w:rPr>
                      <w:b/>
                      <w:color w:val="FFFFFF" w:themeColor="background1"/>
                      <w:sz w:val="16"/>
                      <w:szCs w:val="16"/>
                      <w:lang w:val="es-ES"/>
                    </w:rPr>
                    <w:t>(</w:t>
                  </w:r>
                  <w:r w:rsidR="00780804" w:rsidRPr="00AD38F6">
                    <w:rPr>
                      <w:b/>
                      <w:color w:val="FFFFFF" w:themeColor="background1"/>
                      <w:sz w:val="16"/>
                      <w:szCs w:val="16"/>
                      <w:lang w:val="es-ES"/>
                    </w:rPr>
                    <w:t>Doctor en Derecho</w:t>
                  </w:r>
                  <w:r>
                    <w:rPr>
                      <w:b/>
                      <w:color w:val="FFFFFF" w:themeColor="background1"/>
                      <w:sz w:val="16"/>
                      <w:szCs w:val="16"/>
                      <w:lang w:val="es-ES"/>
                    </w:rPr>
                    <w:t>)</w:t>
                  </w:r>
                </w:p>
                <w:p w:rsidR="00AA0288" w:rsidRPr="00AD38F6" w:rsidRDefault="00AA0288" w:rsidP="00780804">
                  <w:pPr>
                    <w:spacing w:after="0" w:line="240" w:lineRule="auto"/>
                    <w:jc w:val="center"/>
                    <w:rPr>
                      <w:b/>
                      <w:color w:val="FFFFFF" w:themeColor="background1"/>
                      <w:sz w:val="16"/>
                      <w:szCs w:val="16"/>
                      <w:lang w:val="es-ES"/>
                    </w:rPr>
                  </w:pPr>
                  <w:r>
                    <w:rPr>
                      <w:b/>
                      <w:color w:val="FFFFFF" w:themeColor="background1"/>
                      <w:sz w:val="16"/>
                      <w:szCs w:val="16"/>
                      <w:lang w:val="es-ES"/>
                    </w:rPr>
                    <w:t>Universidad de Almería</w:t>
                  </w:r>
                </w:p>
                <w:p w:rsidR="00780804" w:rsidRPr="00AA0288" w:rsidRDefault="00780804" w:rsidP="00780804">
                  <w:pPr>
                    <w:spacing w:after="0" w:line="240" w:lineRule="auto"/>
                    <w:jc w:val="center"/>
                    <w:rPr>
                      <w:b/>
                      <w:i/>
                      <w:color w:val="FFFFFF" w:themeColor="background1"/>
                      <w:sz w:val="16"/>
                      <w:szCs w:val="16"/>
                      <w:lang w:val="es-ES"/>
                    </w:rPr>
                  </w:pPr>
                  <w:r w:rsidRPr="00AA0288">
                    <w:rPr>
                      <w:b/>
                      <w:i/>
                      <w:color w:val="FFFFFF" w:themeColor="background1"/>
                      <w:sz w:val="16"/>
                      <w:szCs w:val="16"/>
                      <w:lang w:val="es-ES"/>
                    </w:rPr>
                    <w:t>vbg415@ual.es</w:t>
                  </w:r>
                </w:p>
                <w:p w:rsidR="00780804" w:rsidRDefault="00780804" w:rsidP="00780804">
                  <w:pPr>
                    <w:rPr>
                      <w:rFonts w:ascii="Tw Cen MT" w:hAnsi="Tw Cen MT"/>
                      <w:b/>
                      <w:lang w:val="es-ES"/>
                    </w:rPr>
                  </w:pPr>
                </w:p>
                <w:p w:rsidR="00780804" w:rsidRPr="00780804" w:rsidRDefault="00780804" w:rsidP="00780804">
                  <w:pPr>
                    <w:rPr>
                      <w:rFonts w:ascii="Tw Cen MT" w:hAnsi="Tw Cen MT"/>
                      <w:b/>
                      <w:lang w:val="es-ES"/>
                    </w:rPr>
                  </w:pPr>
                </w:p>
              </w:txbxContent>
            </v:textbox>
          </v:shape>
        </w:pict>
      </w:r>
      <w:r>
        <w:rPr>
          <w:noProof/>
          <w:sz w:val="20"/>
          <w:szCs w:val="20"/>
          <w:lang w:val="es-ES" w:eastAsia="es-ES"/>
        </w:rPr>
        <w:pict>
          <v:rect id="24 Rectángulo" o:spid="_x0000_s1039" style="position:absolute;left:0;text-align:left;margin-left:94.95pt;margin-top:-47.6pt;width:195.75pt;height:59.15pt;z-index:25166527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" fillcolor="window" stroked="f" strokeweight="2pt">
            <v:path arrowok="t"/>
          </v:rect>
        </w:pict>
      </w:r>
      <w:r>
        <w:rPr>
          <w:noProof/>
          <w:sz w:val="20"/>
          <w:szCs w:val="20"/>
          <w:lang w:val="es-ES" w:eastAsia="es-ES"/>
        </w:rPr>
        <w:pict>
          <v:shape id="_x0000_s1028" type="#_x0000_t202" style="position:absolute;left:0;text-align:left;margin-left:152.7pt;margin-top:-23.85pt;width:33.3pt;height:39.65pt;z-index:2516725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" filled="f" stroked="f">
            <v:textbox style="mso-next-textbox:#_x0000_s1028;mso-fit-shape-to-text:t">
              <w:txbxContent>
                <w:p w:rsidR="00755162" w:rsidRPr="00AD38F6" w:rsidRDefault="00755162" w:rsidP="00755162">
                  <w:pPr>
                    <w:rPr>
                      <w:b/>
                      <w:sz w:val="32"/>
                      <w:szCs w:val="32"/>
                      <w:lang w:val="es-ES"/>
                    </w:rPr>
                  </w:pPr>
                  <w:r w:rsidRPr="00AD38F6">
                    <w:rPr>
                      <w:b/>
                      <w:sz w:val="32"/>
                      <w:szCs w:val="32"/>
                      <w:lang w:val="es-ES"/>
                    </w:rPr>
                    <w:t>y</w:t>
                  </w:r>
                  <w:r w:rsidR="00EA49D6">
                    <w:rPr>
                      <w:b/>
                      <w:sz w:val="32"/>
                      <w:szCs w:val="32"/>
                      <w:lang w:val="es-ES"/>
                    </w:rPr>
                    <w:t xml:space="preserve"> </w:t>
                  </w:r>
                </w:p>
              </w:txbxContent>
            </v:textbox>
          </v:shape>
        </w:pict>
      </w:r>
      <w:r>
        <w:rPr>
          <w:noProof/>
          <w:sz w:val="20"/>
          <w:szCs w:val="20"/>
          <w:lang w:val="es-ES" w:eastAsia="es-ES"/>
        </w:rPr>
        <w:pict>
          <v:shape id="_x0000_s1029" type="#_x0000_t202" style="position:absolute;left:0;text-align:left;margin-left:88.2pt;margin-top:10.9pt;width:113.25pt;height:46.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" filled="f" stroked="f">
            <v:textbox style="mso-next-textbox:#_x0000_s1029">
              <w:txbxContent>
                <w:p w:rsidR="00780804" w:rsidRPr="00AD38F6" w:rsidRDefault="00780804" w:rsidP="00780804">
                  <w:pPr>
                    <w:rPr>
                      <w:b/>
                      <w:i/>
                      <w:sz w:val="24"/>
                      <w:szCs w:val="24"/>
                      <w:lang w:val="es-ES"/>
                    </w:rPr>
                  </w:pPr>
                  <w:r w:rsidRPr="00AD38F6">
                    <w:rPr>
                      <w:b/>
                      <w:i/>
                      <w:sz w:val="24"/>
                      <w:szCs w:val="24"/>
                      <w:lang w:val="es-ES"/>
                    </w:rPr>
                    <w:t>Bibliografía</w:t>
                  </w:r>
                </w:p>
              </w:txbxContent>
            </v:textbox>
          </v:shape>
        </w:pict>
      </w:r>
      <w:r>
        <w:rPr>
          <w:noProof/>
          <w:sz w:val="20"/>
          <w:szCs w:val="20"/>
          <w:lang w:val="es-ES" w:eastAsia="es-ES"/>
        </w:rPr>
        <w:pict>
          <v:shape id="Arc 14" o:spid="_x0000_s1037" style="position:absolute;left:0;text-align:left;margin-left:273.45pt;margin-top:-110.95pt;width:130.3pt;height:74.6pt;rotation:-11679850fd;flip:x;z-index:25168281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" adj="0,,0" path="m,38nfc428,12,857,-1,1287,,8902,,15954,4009,19848,10554em,38nsc428,12,857,-1,1287,,8902,,15954,4009,19848,10554l1287,21600,,38xe" filled="f" strokecolor="white [3212]" strokeweight="3pt">
            <v:stroke joinstyle="round"/>
            <v:formulas/>
            <v:path arrowok="t" o:extrusionok="f" o:connecttype="custom" o:connectlocs="0,1667;1654810,462920;107297,947420" o:connectangles="0,0,0"/>
          </v:shape>
        </w:pict>
      </w:r>
      <w:r>
        <w:rPr>
          <w:noProof/>
          <w:sz w:val="20"/>
          <w:szCs w:val="20"/>
          <w:lang w:val="es-ES" w:eastAsia="es-ES"/>
        </w:rPr>
        <w:pict>
          <v:shape id="_x0000_s1030" type="#_x0000_t202" style="position:absolute;left:0;text-align:left;margin-left:-49.05pt;margin-top:-47.6pt;width:463.15pt;height:50.9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" filled="f" stroked="f">
            <v:textbox style="mso-next-textbox:#_x0000_s1030;mso-fit-shape-to-text:t">
              <w:txbxContent>
                <w:p w:rsidR="007230EB" w:rsidRPr="00AD38F6" w:rsidRDefault="00EA49D6">
                  <w:pPr>
                    <w:rPr>
                      <w:rFonts w:ascii="Tw Cen MT" w:hAnsi="Tw Cen MT"/>
                      <w:sz w:val="48"/>
                      <w:szCs w:val="48"/>
                      <w:lang w:val="es-ES"/>
                    </w:rPr>
                  </w:pPr>
                  <w:r>
                    <w:rPr>
                      <w:b/>
                      <w:color w:val="FFFFFF" w:themeColor="background1"/>
                      <w:sz w:val="48"/>
                      <w:szCs w:val="48"/>
                      <w:lang w:val="es-ES"/>
                    </w:rPr>
                    <w:t xml:space="preserve">       </w:t>
                  </w:r>
                  <w:r w:rsidR="007230EB" w:rsidRPr="00AD38F6">
                    <w:rPr>
                      <w:b/>
                      <w:color w:val="FFFFFF" w:themeColor="background1"/>
                      <w:sz w:val="48"/>
                      <w:szCs w:val="48"/>
                      <w:lang w:val="es-ES"/>
                    </w:rPr>
                    <w:t>INFORME</w:t>
                  </w:r>
                  <w:r>
                    <w:rPr>
                      <w:b/>
                      <w:color w:val="FFFFFF" w:themeColor="background1"/>
                      <w:sz w:val="48"/>
                      <w:szCs w:val="48"/>
                      <w:lang w:val="es-ES"/>
                    </w:rPr>
                    <w:t xml:space="preserve"> </w:t>
                  </w:r>
                  <w:r w:rsidR="003D349A">
                    <w:rPr>
                      <w:b/>
                      <w:color w:val="FFFFFF" w:themeColor="background1"/>
                      <w:sz w:val="48"/>
                      <w:szCs w:val="48"/>
                      <w:lang w:val="es-ES"/>
                    </w:rPr>
                    <w:t xml:space="preserve"> </w:t>
                  </w:r>
                  <w:r w:rsidR="00755162" w:rsidRPr="00AD38F6">
                    <w:rPr>
                      <w:rFonts w:ascii="Calibri" w:hAnsi="Calibri"/>
                      <w:b/>
                      <w:color w:val="000000" w:themeColor="text1"/>
                      <w:sz w:val="48"/>
                      <w:szCs w:val="48"/>
                      <w:lang w:val="es-ES"/>
                    </w:rPr>
                    <w:t>DERECHO</w:t>
                  </w:r>
                </w:p>
              </w:txbxContent>
            </v:textbox>
          </v:shape>
        </w:pict>
      </w:r>
      <w:r>
        <w:rPr>
          <w:noProof/>
          <w:sz w:val="20"/>
          <w:szCs w:val="20"/>
          <w:lang w:val="es-ES" w:eastAsia="es-ES"/>
        </w:rPr>
        <w:pict>
          <v:shape id="Arc 15" o:spid="_x0000_s1036" style="position:absolute;left:0;text-align:left;margin-left:244pt;margin-top:27.45pt;width:121.85pt;height:70.4pt;rotation:-3879815fd;flip:x;z-index:251683840;visibility:visible" coordsize="18562,194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" adj="0,,0" path="m9493,-1nfc13263,1844,16415,4748,18561,8356em9493,-1nsc13263,1844,16415,4748,18561,8356l,19402,9493,-1xe" filled="f" strokecolor="white [3212]" strokeweight="3pt">
            <v:stroke joinstyle="round"/>
            <v:formulas/>
            <v:path arrowok="t" o:extrusionok="f" o:connecttype="custom" o:connectlocs="791422,0;1547495,385060;0,894080" o:connectangles="0,0,0"/>
          </v:shape>
        </w:pict>
      </w:r>
      <w:r>
        <w:rPr>
          <w:noProof/>
          <w:sz w:val="20"/>
          <w:szCs w:val="20"/>
          <w:lang w:val="es-ES" w:eastAsia="es-ES"/>
        </w:rPr>
        <w:pict>
          <v:shape id="16 Cuadro de texto" o:spid="_x0000_s1031" type="#_x0000_t202" style="position:absolute;left:0;text-align:left;margin-left:-96.75pt;margin-top:-68.6pt;width:617.25pt;height:134.25pt;z-index:25166438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" fillcolor="white [3201]" stroked="f" strokeweight=".5pt">
            <v:path arrowok="t"/>
            <v:textbox style="mso-next-textbox:#16 Cuadro de texto">
              <w:txbxContent>
                <w:p w:rsidR="00D1076A" w:rsidRDefault="00D1076A" w:rsidP="00755162">
                  <w:r>
                    <w:rPr>
                      <w:noProof/>
                      <w:lang w:val="es-ES" w:eastAsia="es-ES"/>
                    </w:rPr>
                    <w:drawing>
                      <wp:inline distT="0" distB="0" distL="0" distR="0">
                        <wp:extent cx="7800975" cy="1333500"/>
                        <wp:effectExtent l="0" t="0" r="9525" b="0"/>
                        <wp:docPr id="17" name="Imagen 17" descr="http://www.libreriamonalisa.com/web/wp-content/uploads/2014/06/Fondo-naranja-gran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breriamonalisa.com/web/wp-content/uploads/2014/06/Fondo-naranja-grande1.png"/>
                                <pic:cNvPicPr>
                                  <a:picLocks noChangeAspect="1" noChangeArrowheads="1"/>
                                </pic:cNvPicPr>
                              </pic:nvPicPr>
                              <pic:blipFill>
                                <a:blip r:embed="rId8">
                                  <a:duotone>
                                    <a:prstClr val="black"/>
                                    <a:schemeClr val="accent2">
                                      <a:tint val="45000"/>
                                      <a:satMod val="400000"/>
                                    </a:schemeClr>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00975" cy="1333500"/>
                                </a:xfrm>
                                <a:prstGeom prst="rect">
                                  <a:avLst/>
                                </a:prstGeom>
                                <a:solidFill>
                                  <a:schemeClr val="tx1"/>
                                </a:solidFill>
                                <a:ln>
                                  <a:noFill/>
                                </a:ln>
                              </pic:spPr>
                            </pic:pic>
                          </a:graphicData>
                        </a:graphic>
                      </wp:inline>
                    </w:drawing>
                  </w:r>
                </w:p>
              </w:txbxContent>
            </v:textbox>
          </v:shape>
        </w:pict>
      </w:r>
    </w:p>
    <w:p w:rsidR="003367B9" w:rsidRPr="00896EFC" w:rsidRDefault="003367B9" w:rsidP="0033136E">
      <w:pPr>
        <w:tabs>
          <w:tab w:val="left" w:pos="3030"/>
          <w:tab w:val="left" w:pos="3060"/>
          <w:tab w:val="right" w:pos="10466"/>
        </w:tabs>
        <w:jc w:val="both"/>
        <w:rPr>
          <w:sz w:val="20"/>
          <w:szCs w:val="20"/>
          <w:lang w:val="es-ES"/>
        </w:rPr>
      </w:pPr>
    </w:p>
    <w:p w:rsidR="00F60569" w:rsidRPr="0033136E" w:rsidRDefault="00F60569" w:rsidP="0033136E">
      <w:pPr>
        <w:tabs>
          <w:tab w:val="left" w:pos="3030"/>
          <w:tab w:val="left" w:pos="3060"/>
          <w:tab w:val="right" w:pos="10466"/>
        </w:tabs>
        <w:jc w:val="both"/>
        <w:rPr>
          <w:rFonts w:cstheme="minorHAnsi"/>
          <w:sz w:val="20"/>
          <w:szCs w:val="20"/>
        </w:rPr>
      </w:pPr>
    </w:p>
    <w:p w:rsidR="00ED443D" w:rsidRPr="00A524A8" w:rsidRDefault="00ED443D" w:rsidP="00ED443D">
      <w:pPr>
        <w:pStyle w:val="Prrafodelista"/>
        <w:numPr>
          <w:ilvl w:val="0"/>
          <w:numId w:val="5"/>
        </w:numPr>
        <w:jc w:val="both"/>
        <w:rPr>
          <w:caps/>
          <w:sz w:val="20"/>
          <w:szCs w:val="20"/>
        </w:rPr>
      </w:pPr>
      <w:r w:rsidRPr="00ED443D">
        <w:rPr>
          <w:b/>
          <w:caps/>
          <w:color w:val="943634" w:themeColor="accent2" w:themeShade="BF"/>
          <w:sz w:val="20"/>
          <w:szCs w:val="20"/>
        </w:rPr>
        <w:t xml:space="preserve">Adán Domènech, </w:t>
      </w:r>
      <w:r w:rsidRPr="00ED443D">
        <w:rPr>
          <w:b/>
          <w:color w:val="943634" w:themeColor="accent2" w:themeShade="BF"/>
          <w:sz w:val="20"/>
          <w:szCs w:val="20"/>
        </w:rPr>
        <w:t>Frederic.</w:t>
      </w:r>
      <w:r w:rsidR="00B37C86">
        <w:rPr>
          <w:b/>
          <w:color w:val="943634" w:themeColor="accent2" w:themeShade="BF"/>
          <w:sz w:val="20"/>
          <w:szCs w:val="20"/>
        </w:rPr>
        <w:t xml:space="preserve"> </w:t>
      </w:r>
      <w:r w:rsidRPr="00ED443D">
        <w:rPr>
          <w:sz w:val="20"/>
          <w:szCs w:val="20"/>
        </w:rPr>
        <w:t xml:space="preserve">“La venta extrajudicial del bien inmueble hipotecado”: </w:t>
      </w:r>
      <w:r w:rsidRPr="00ED443D">
        <w:rPr>
          <w:i/>
          <w:sz w:val="20"/>
          <w:szCs w:val="20"/>
        </w:rPr>
        <w:t>Cuadernos de derecho y comercio</w:t>
      </w:r>
      <w:r w:rsidRPr="00ED443D">
        <w:rPr>
          <w:sz w:val="20"/>
          <w:szCs w:val="20"/>
        </w:rPr>
        <w:t>, nº 67, 2017, pp. 83-134.</w:t>
      </w:r>
    </w:p>
    <w:p w:rsidR="00A524A8" w:rsidRPr="00A524A8" w:rsidRDefault="00A524A8" w:rsidP="00A524A8">
      <w:pPr>
        <w:pStyle w:val="Prrafodelista"/>
        <w:jc w:val="both"/>
        <w:rPr>
          <w:caps/>
          <w:sz w:val="20"/>
          <w:szCs w:val="20"/>
        </w:rPr>
      </w:pPr>
    </w:p>
    <w:p w:rsidR="00A524A8" w:rsidRPr="00ED443D" w:rsidRDefault="00A524A8" w:rsidP="00ED443D">
      <w:pPr>
        <w:pStyle w:val="Prrafodelista"/>
        <w:numPr>
          <w:ilvl w:val="0"/>
          <w:numId w:val="5"/>
        </w:numPr>
        <w:jc w:val="both"/>
        <w:rPr>
          <w:caps/>
          <w:sz w:val="20"/>
          <w:szCs w:val="20"/>
        </w:rPr>
      </w:pPr>
      <w:r w:rsidRPr="00A524A8">
        <w:rPr>
          <w:b/>
          <w:caps/>
          <w:color w:val="943634" w:themeColor="accent2" w:themeShade="BF"/>
          <w:sz w:val="20"/>
          <w:szCs w:val="20"/>
        </w:rPr>
        <w:t xml:space="preserve">Aguirre Seoane, </w:t>
      </w:r>
      <w:r w:rsidRPr="00A524A8">
        <w:rPr>
          <w:b/>
          <w:color w:val="943634" w:themeColor="accent2" w:themeShade="BF"/>
          <w:sz w:val="20"/>
          <w:szCs w:val="20"/>
        </w:rPr>
        <w:t>Juan.</w:t>
      </w:r>
      <w:r>
        <w:rPr>
          <w:sz w:val="20"/>
          <w:szCs w:val="20"/>
        </w:rPr>
        <w:t xml:space="preserve"> “Tutela cautelar de los consumidores y usuarios”:</w:t>
      </w:r>
      <w:r w:rsidR="00B37C86">
        <w:rPr>
          <w:sz w:val="20"/>
          <w:szCs w:val="20"/>
        </w:rPr>
        <w:t xml:space="preserve"> </w:t>
      </w:r>
      <w:r w:rsidRPr="00A524A8">
        <w:rPr>
          <w:i/>
          <w:sz w:val="20"/>
          <w:szCs w:val="20"/>
        </w:rPr>
        <w:t>Revista del Ministerio Fiscal</w:t>
      </w:r>
      <w:r>
        <w:rPr>
          <w:sz w:val="20"/>
          <w:szCs w:val="20"/>
        </w:rPr>
        <w:t>, nº</w:t>
      </w:r>
      <w:r w:rsidRPr="00A524A8">
        <w:rPr>
          <w:sz w:val="20"/>
          <w:szCs w:val="20"/>
        </w:rPr>
        <w:t xml:space="preserve"> 4, (2017)</w:t>
      </w:r>
      <w:r>
        <w:rPr>
          <w:sz w:val="20"/>
          <w:szCs w:val="20"/>
        </w:rPr>
        <w:t xml:space="preserve">, pp. 60-73. </w:t>
      </w:r>
    </w:p>
    <w:p w:rsidR="00ED443D" w:rsidRPr="00ED443D" w:rsidRDefault="00ED443D" w:rsidP="00ED443D">
      <w:pPr>
        <w:pStyle w:val="Prrafodelista"/>
        <w:jc w:val="both"/>
        <w:rPr>
          <w:caps/>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Alba Fernández</w:t>
      </w:r>
      <w:r w:rsidRPr="00ED443D">
        <w:rPr>
          <w:b/>
          <w:color w:val="943634" w:themeColor="accent2" w:themeShade="BF"/>
          <w:sz w:val="20"/>
          <w:szCs w:val="20"/>
        </w:rPr>
        <w:t>, Manuel.</w:t>
      </w:r>
      <w:r w:rsidR="00B37C86">
        <w:rPr>
          <w:b/>
          <w:color w:val="943634" w:themeColor="accent2" w:themeShade="BF"/>
          <w:sz w:val="20"/>
          <w:szCs w:val="20"/>
        </w:rPr>
        <w:t xml:space="preserve"> </w:t>
      </w:r>
      <w:r w:rsidRPr="00ED443D">
        <w:rPr>
          <w:sz w:val="20"/>
          <w:szCs w:val="20"/>
        </w:rPr>
        <w:t>“El tratamiento de los créditos con garantía real contr</w:t>
      </w:r>
      <w:bookmarkStart w:id="0" w:name="_GoBack"/>
      <w:bookmarkEnd w:id="0"/>
      <w:r w:rsidRPr="00ED443D">
        <w:rPr>
          <w:sz w:val="20"/>
          <w:szCs w:val="20"/>
        </w:rPr>
        <w:t xml:space="preserve">a el deudor concursado en los casos de insolvencia transfronteriza”: </w:t>
      </w:r>
      <w:r w:rsidRPr="00ED443D">
        <w:rPr>
          <w:i/>
          <w:sz w:val="20"/>
          <w:szCs w:val="20"/>
        </w:rPr>
        <w:t>La Ley mercantil</w:t>
      </w:r>
      <w:r w:rsidRPr="00ED443D">
        <w:rPr>
          <w:sz w:val="20"/>
          <w:szCs w:val="20"/>
        </w:rPr>
        <w:t>, nº. 41 (noviembre), 2017, p. 4.</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Ballugera Gómez</w:t>
      </w:r>
      <w:r w:rsidRPr="00ED443D">
        <w:rPr>
          <w:b/>
          <w:color w:val="943634" w:themeColor="accent2" w:themeShade="BF"/>
          <w:sz w:val="20"/>
          <w:szCs w:val="20"/>
        </w:rPr>
        <w:t>, Carlos.</w:t>
      </w:r>
      <w:r w:rsidR="00B37C86">
        <w:rPr>
          <w:b/>
          <w:color w:val="943634" w:themeColor="accent2" w:themeShade="BF"/>
          <w:sz w:val="20"/>
          <w:szCs w:val="20"/>
        </w:rPr>
        <w:t xml:space="preserve"> </w:t>
      </w:r>
      <w:r w:rsidRPr="00ED443D">
        <w:rPr>
          <w:sz w:val="20"/>
          <w:szCs w:val="20"/>
        </w:rPr>
        <w:t xml:space="preserve">“Guía para saber si una cláusula no negociada individualmente es transparente. Notas críticas a la jurisprudencia europea”: </w:t>
      </w:r>
      <w:r w:rsidRPr="00ED443D">
        <w:rPr>
          <w:i/>
          <w:sz w:val="20"/>
          <w:szCs w:val="20"/>
        </w:rPr>
        <w:t>Revista de Derecho vLex</w:t>
      </w:r>
      <w:r w:rsidRPr="00ED443D">
        <w:rPr>
          <w:sz w:val="20"/>
          <w:szCs w:val="20"/>
        </w:rPr>
        <w:t xml:space="preserve">, </w:t>
      </w:r>
      <w:r>
        <w:rPr>
          <w:sz w:val="20"/>
          <w:szCs w:val="20"/>
        </w:rPr>
        <w:t>nº</w:t>
      </w:r>
      <w:r w:rsidRPr="00ED443D">
        <w:rPr>
          <w:sz w:val="20"/>
          <w:szCs w:val="20"/>
        </w:rPr>
        <w:t xml:space="preserve"> 162, Noviembre 2017. </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olor w:val="943634" w:themeColor="accent2" w:themeShade="BF"/>
          <w:sz w:val="20"/>
          <w:szCs w:val="20"/>
        </w:rPr>
        <w:t>BALLUGERA GÓMEZ, Carlos.</w:t>
      </w:r>
      <w:r w:rsidR="00C70365">
        <w:rPr>
          <w:b/>
          <w:color w:val="943634" w:themeColor="accent2" w:themeShade="BF"/>
          <w:sz w:val="20"/>
          <w:szCs w:val="20"/>
        </w:rPr>
        <w:t xml:space="preserve"> </w:t>
      </w:r>
      <w:r w:rsidRPr="00ED443D">
        <w:rPr>
          <w:sz w:val="20"/>
          <w:szCs w:val="20"/>
        </w:rPr>
        <w:t xml:space="preserve">“Guía para saber si una cláusula es abusiva”: </w:t>
      </w:r>
      <w:r w:rsidRPr="00ED443D">
        <w:rPr>
          <w:i/>
          <w:sz w:val="20"/>
          <w:szCs w:val="20"/>
        </w:rPr>
        <w:t>Revista de Derecho vLex</w:t>
      </w:r>
      <w:r w:rsidRPr="00ED443D">
        <w:rPr>
          <w:sz w:val="20"/>
          <w:szCs w:val="20"/>
        </w:rPr>
        <w:t xml:space="preserve">, </w:t>
      </w:r>
      <w:r>
        <w:rPr>
          <w:sz w:val="20"/>
          <w:szCs w:val="20"/>
        </w:rPr>
        <w:t>nº</w:t>
      </w:r>
      <w:r w:rsidRPr="00ED443D">
        <w:rPr>
          <w:sz w:val="20"/>
          <w:szCs w:val="20"/>
        </w:rPr>
        <w:t>. 162, Noviembre 2017.</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Ballugera Gómez</w:t>
      </w:r>
      <w:r w:rsidRPr="00ED443D">
        <w:rPr>
          <w:b/>
          <w:color w:val="943634" w:themeColor="accent2" w:themeShade="BF"/>
          <w:sz w:val="20"/>
          <w:szCs w:val="20"/>
        </w:rPr>
        <w:t>, Carlos.</w:t>
      </w:r>
      <w:r w:rsidR="00C70365">
        <w:rPr>
          <w:b/>
          <w:color w:val="943634" w:themeColor="accent2" w:themeShade="BF"/>
          <w:sz w:val="20"/>
          <w:szCs w:val="20"/>
        </w:rPr>
        <w:t xml:space="preserve"> </w:t>
      </w:r>
      <w:r w:rsidRPr="00ED443D">
        <w:rPr>
          <w:sz w:val="20"/>
          <w:szCs w:val="20"/>
        </w:rPr>
        <w:t xml:space="preserve">“Guía para saber cuándo una cláusula no negociada individualmente define el objeto principal del contrato o se refiere a la adecuación de la relación calidad-precio”: </w:t>
      </w:r>
      <w:r w:rsidRPr="00ED443D">
        <w:rPr>
          <w:i/>
          <w:sz w:val="20"/>
          <w:szCs w:val="20"/>
        </w:rPr>
        <w:t>Revista de Derecho vLex</w:t>
      </w:r>
      <w:r w:rsidRPr="00ED443D">
        <w:rPr>
          <w:sz w:val="20"/>
          <w:szCs w:val="20"/>
        </w:rPr>
        <w:t xml:space="preserve">, </w:t>
      </w:r>
      <w:r>
        <w:rPr>
          <w:sz w:val="20"/>
          <w:szCs w:val="20"/>
        </w:rPr>
        <w:t>nº</w:t>
      </w:r>
      <w:r w:rsidRPr="00ED443D">
        <w:rPr>
          <w:sz w:val="20"/>
          <w:szCs w:val="20"/>
        </w:rPr>
        <w:t xml:space="preserve"> 162, Noviembre 2017. </w:t>
      </w:r>
    </w:p>
    <w:p w:rsidR="00ED443D" w:rsidRPr="00ED443D" w:rsidRDefault="00ED443D" w:rsidP="00ED443D">
      <w:pPr>
        <w:pStyle w:val="Prrafodelista"/>
        <w:jc w:val="both"/>
        <w:rPr>
          <w:sz w:val="20"/>
          <w:szCs w:val="20"/>
        </w:rPr>
      </w:pPr>
    </w:p>
    <w:p w:rsid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Ballugera Gómez</w:t>
      </w:r>
      <w:r w:rsidRPr="00ED443D">
        <w:rPr>
          <w:b/>
          <w:color w:val="943634" w:themeColor="accent2" w:themeShade="BF"/>
          <w:sz w:val="20"/>
          <w:szCs w:val="20"/>
        </w:rPr>
        <w:t>, Carlos.</w:t>
      </w:r>
      <w:r w:rsidR="00C70365">
        <w:rPr>
          <w:b/>
          <w:color w:val="943634" w:themeColor="accent2" w:themeShade="BF"/>
          <w:sz w:val="20"/>
          <w:szCs w:val="20"/>
        </w:rPr>
        <w:t xml:space="preserve"> </w:t>
      </w:r>
      <w:r w:rsidRPr="00ED443D">
        <w:rPr>
          <w:sz w:val="20"/>
          <w:szCs w:val="20"/>
        </w:rPr>
        <w:t>“</w:t>
      </w:r>
      <w:r w:rsidR="00C70365">
        <w:rPr>
          <w:sz w:val="20"/>
          <w:szCs w:val="20"/>
        </w:rPr>
        <w:t xml:space="preserve">El Ministerio Fiscal y la protección de los consumidores. El trabajo de fiscales y registradores por un mercado interior eficiente por equilibrado”: </w:t>
      </w:r>
      <w:r w:rsidR="00C70365" w:rsidRPr="00C70365">
        <w:rPr>
          <w:i/>
          <w:sz w:val="20"/>
          <w:szCs w:val="20"/>
        </w:rPr>
        <w:t>Revista del Ministerio Fiscal</w:t>
      </w:r>
      <w:r w:rsidR="00C70365">
        <w:rPr>
          <w:sz w:val="20"/>
          <w:szCs w:val="20"/>
        </w:rPr>
        <w:t>, nº</w:t>
      </w:r>
      <w:r w:rsidR="00C70365" w:rsidRPr="00C70365">
        <w:rPr>
          <w:sz w:val="20"/>
          <w:szCs w:val="20"/>
        </w:rPr>
        <w:t xml:space="preserve"> 4, (2017)</w:t>
      </w:r>
      <w:r w:rsidR="00C70365">
        <w:rPr>
          <w:sz w:val="20"/>
          <w:szCs w:val="20"/>
        </w:rPr>
        <w:t>, pp. 102-122</w:t>
      </w:r>
      <w:r w:rsidRPr="00ED443D">
        <w:rPr>
          <w:sz w:val="20"/>
          <w:szCs w:val="20"/>
        </w:rPr>
        <w:t xml:space="preserve">. </w:t>
      </w:r>
    </w:p>
    <w:p w:rsidR="00C70365" w:rsidRPr="00C70365" w:rsidRDefault="00C70365" w:rsidP="00C70365">
      <w:pPr>
        <w:pStyle w:val="Prrafodelista"/>
        <w:rPr>
          <w:sz w:val="20"/>
          <w:szCs w:val="20"/>
        </w:rPr>
      </w:pPr>
    </w:p>
    <w:p w:rsidR="00C70365" w:rsidRPr="00C70365" w:rsidRDefault="00C70365" w:rsidP="00C70365">
      <w:pPr>
        <w:pStyle w:val="Prrafodelista"/>
        <w:numPr>
          <w:ilvl w:val="0"/>
          <w:numId w:val="5"/>
        </w:numPr>
        <w:jc w:val="both"/>
        <w:rPr>
          <w:sz w:val="20"/>
          <w:szCs w:val="20"/>
        </w:rPr>
      </w:pPr>
      <w:r w:rsidRPr="00ED443D">
        <w:rPr>
          <w:b/>
          <w:caps/>
          <w:color w:val="943634" w:themeColor="accent2" w:themeShade="BF"/>
          <w:sz w:val="20"/>
          <w:szCs w:val="20"/>
        </w:rPr>
        <w:t>Ballugera Gómez</w:t>
      </w:r>
      <w:r w:rsidRPr="00ED443D">
        <w:rPr>
          <w:b/>
          <w:color w:val="943634" w:themeColor="accent2" w:themeShade="BF"/>
          <w:sz w:val="20"/>
          <w:szCs w:val="20"/>
        </w:rPr>
        <w:t>, Carlos.</w:t>
      </w:r>
      <w:r>
        <w:rPr>
          <w:b/>
          <w:color w:val="943634" w:themeColor="accent2" w:themeShade="BF"/>
          <w:sz w:val="20"/>
          <w:szCs w:val="20"/>
        </w:rPr>
        <w:t xml:space="preserve"> </w:t>
      </w:r>
      <w:r w:rsidRPr="00ED443D">
        <w:rPr>
          <w:sz w:val="20"/>
          <w:szCs w:val="20"/>
        </w:rPr>
        <w:t xml:space="preserve">“Guía para saber si una cláusula no negociada individualmente es transparente. Notas críticas a la jurisprudencia europea”: </w:t>
      </w:r>
      <w:r w:rsidRPr="00ED443D">
        <w:rPr>
          <w:i/>
          <w:sz w:val="20"/>
          <w:szCs w:val="20"/>
        </w:rPr>
        <w:t>Revista de Derecho vLex</w:t>
      </w:r>
      <w:r w:rsidRPr="00ED443D">
        <w:rPr>
          <w:sz w:val="20"/>
          <w:szCs w:val="20"/>
        </w:rPr>
        <w:t xml:space="preserve">, </w:t>
      </w:r>
      <w:r>
        <w:rPr>
          <w:sz w:val="20"/>
          <w:szCs w:val="20"/>
        </w:rPr>
        <w:t>nº</w:t>
      </w:r>
      <w:r w:rsidRPr="00ED443D">
        <w:rPr>
          <w:sz w:val="20"/>
          <w:szCs w:val="20"/>
        </w:rPr>
        <w:t xml:space="preserve"> 162, Noviembre 2017. </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Bello Torres</w:t>
      </w:r>
      <w:r w:rsidRPr="00ED443D">
        <w:rPr>
          <w:b/>
          <w:color w:val="943634" w:themeColor="accent2" w:themeShade="BF"/>
          <w:sz w:val="20"/>
          <w:szCs w:val="20"/>
        </w:rPr>
        <w:t xml:space="preserve">, Leticia; </w:t>
      </w:r>
      <w:r w:rsidRPr="00ED443D">
        <w:rPr>
          <w:b/>
          <w:caps/>
          <w:color w:val="943634" w:themeColor="accent2" w:themeShade="BF"/>
          <w:sz w:val="20"/>
          <w:szCs w:val="20"/>
        </w:rPr>
        <w:t>Fariña</w:t>
      </w:r>
      <w:r w:rsidRPr="00ED443D">
        <w:rPr>
          <w:b/>
          <w:color w:val="943634" w:themeColor="accent2" w:themeShade="BF"/>
          <w:sz w:val="20"/>
          <w:szCs w:val="20"/>
        </w:rPr>
        <w:t>, Rebeca.</w:t>
      </w:r>
      <w:r w:rsidR="00B37C86">
        <w:rPr>
          <w:b/>
          <w:color w:val="943634" w:themeColor="accent2" w:themeShade="BF"/>
          <w:sz w:val="20"/>
          <w:szCs w:val="20"/>
        </w:rPr>
        <w:t xml:space="preserve"> </w:t>
      </w:r>
      <w:r w:rsidRPr="00ED443D">
        <w:rPr>
          <w:sz w:val="20"/>
          <w:szCs w:val="20"/>
        </w:rPr>
        <w:t xml:space="preserve">“Algunas consideraciones sobre el régimen general de las cláusulas suelo y la fundamentación jurídica de la obligación de restituir las cantidades indebidamente cobradas por los bancos. ¿Derecho de contratos o cobro indebido?”: </w:t>
      </w:r>
      <w:r w:rsidRPr="00ED443D">
        <w:rPr>
          <w:i/>
          <w:sz w:val="20"/>
          <w:szCs w:val="20"/>
        </w:rPr>
        <w:t>Revista de Derecho Civil</w:t>
      </w:r>
      <w:r w:rsidRPr="00ED443D">
        <w:rPr>
          <w:sz w:val="20"/>
          <w:szCs w:val="20"/>
        </w:rPr>
        <w:t>, vol. 4, nº. 2 (abril-junio, 2017), 2017, pp. 153-190.</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olor w:val="943634" w:themeColor="accent2" w:themeShade="BF"/>
          <w:sz w:val="20"/>
          <w:szCs w:val="20"/>
        </w:rPr>
        <w:t>BASTANTE GRANELL, Víctor.</w:t>
      </w:r>
      <w:r w:rsidR="00B37C86">
        <w:rPr>
          <w:b/>
          <w:color w:val="943634" w:themeColor="accent2" w:themeShade="BF"/>
          <w:sz w:val="20"/>
          <w:szCs w:val="20"/>
        </w:rPr>
        <w:t xml:space="preserve"> </w:t>
      </w:r>
      <w:r w:rsidRPr="00ED443D">
        <w:rPr>
          <w:sz w:val="20"/>
          <w:szCs w:val="20"/>
        </w:rPr>
        <w:t xml:space="preserve">“Negociación y mediación extrajudicial de deudas del consumidor bancario: el sistema portugués” en </w:t>
      </w:r>
      <w:r w:rsidRPr="00ED443D">
        <w:rPr>
          <w:i/>
          <w:sz w:val="20"/>
          <w:szCs w:val="20"/>
        </w:rPr>
        <w:t>La mediación como método para la resolución de conflictos</w:t>
      </w:r>
      <w:r w:rsidRPr="00ED443D">
        <w:rPr>
          <w:sz w:val="20"/>
          <w:szCs w:val="20"/>
        </w:rPr>
        <w:t>. Dykinson: Universidad de Jaén, Vicerrectorado de Investigación2017, pp. 559-575.</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Berheim-Desvaux</w:t>
      </w:r>
      <w:r w:rsidRPr="00ED443D">
        <w:rPr>
          <w:b/>
          <w:color w:val="943634" w:themeColor="accent2" w:themeShade="BF"/>
          <w:sz w:val="20"/>
          <w:szCs w:val="20"/>
        </w:rPr>
        <w:t>, Sabine.</w:t>
      </w:r>
      <w:r w:rsidR="00B37C86">
        <w:rPr>
          <w:b/>
          <w:color w:val="943634" w:themeColor="accent2" w:themeShade="BF"/>
          <w:sz w:val="20"/>
          <w:szCs w:val="20"/>
        </w:rPr>
        <w:t xml:space="preserve"> </w:t>
      </w:r>
      <w:r w:rsidRPr="00ED443D">
        <w:rPr>
          <w:sz w:val="20"/>
          <w:szCs w:val="20"/>
        </w:rPr>
        <w:t xml:space="preserve">“Du pouvoir des consommateursauxpouvoirs du consommateur: Les nouveauxdéfis du droit de la consommation”: </w:t>
      </w:r>
      <w:r w:rsidRPr="00ED443D">
        <w:rPr>
          <w:i/>
          <w:sz w:val="20"/>
          <w:szCs w:val="20"/>
        </w:rPr>
        <w:t>Semainejuridique</w:t>
      </w:r>
      <w:r w:rsidRPr="00ED443D">
        <w:rPr>
          <w:sz w:val="20"/>
          <w:szCs w:val="20"/>
        </w:rPr>
        <w:t>, nº 29, 2017, pp. 1422-1429.</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Berrocal Lanzarot</w:t>
      </w:r>
      <w:r w:rsidRPr="00ED443D">
        <w:rPr>
          <w:b/>
          <w:color w:val="943634" w:themeColor="accent2" w:themeShade="BF"/>
          <w:sz w:val="20"/>
          <w:szCs w:val="20"/>
        </w:rPr>
        <w:t>, Ana Isabel.</w:t>
      </w:r>
      <w:r w:rsidR="00B37C86">
        <w:rPr>
          <w:b/>
          <w:color w:val="943634" w:themeColor="accent2" w:themeShade="BF"/>
          <w:sz w:val="20"/>
          <w:szCs w:val="20"/>
        </w:rPr>
        <w:t xml:space="preserve"> </w:t>
      </w:r>
      <w:r w:rsidRPr="00ED443D">
        <w:rPr>
          <w:sz w:val="20"/>
          <w:szCs w:val="20"/>
        </w:rPr>
        <w:t xml:space="preserve">“Líneas maestras del proyecto de ley reguladora de los contratos de crédito inmobiliario”: </w:t>
      </w:r>
      <w:r w:rsidRPr="00ED443D">
        <w:rPr>
          <w:i/>
          <w:sz w:val="20"/>
          <w:szCs w:val="20"/>
        </w:rPr>
        <w:t>Diario La Ley</w:t>
      </w:r>
      <w:r w:rsidRPr="00ED443D">
        <w:rPr>
          <w:sz w:val="20"/>
          <w:szCs w:val="20"/>
        </w:rPr>
        <w:t>, nº 9097, 2017.</w:t>
      </w:r>
    </w:p>
    <w:p w:rsidR="00ED443D" w:rsidRPr="00ED443D" w:rsidRDefault="00ED443D" w:rsidP="00ED443D">
      <w:pPr>
        <w:pStyle w:val="Prrafodelista"/>
        <w:jc w:val="both"/>
        <w:rPr>
          <w:sz w:val="20"/>
          <w:szCs w:val="20"/>
        </w:rPr>
      </w:pPr>
    </w:p>
    <w:p w:rsid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Cabrera Mercado</w:t>
      </w:r>
      <w:r w:rsidRPr="00ED443D">
        <w:rPr>
          <w:b/>
          <w:color w:val="943634" w:themeColor="accent2" w:themeShade="BF"/>
          <w:sz w:val="20"/>
          <w:szCs w:val="20"/>
        </w:rPr>
        <w:t>, Rafael.</w:t>
      </w:r>
      <w:r w:rsidR="00B37C86">
        <w:rPr>
          <w:b/>
          <w:color w:val="943634" w:themeColor="accent2" w:themeShade="BF"/>
          <w:sz w:val="20"/>
          <w:szCs w:val="20"/>
        </w:rPr>
        <w:t xml:space="preserve"> </w:t>
      </w:r>
      <w:r w:rsidRPr="00ED443D">
        <w:rPr>
          <w:sz w:val="20"/>
          <w:szCs w:val="20"/>
        </w:rPr>
        <w:t xml:space="preserve">“Mediación concursal, acuerdo extrajudicial de pagos y mecanismo de segunda oportunidad” en </w:t>
      </w:r>
      <w:r w:rsidRPr="00ED443D">
        <w:rPr>
          <w:i/>
          <w:sz w:val="20"/>
          <w:szCs w:val="20"/>
        </w:rPr>
        <w:t>La mediación como método para la resolución de conflictos</w:t>
      </w:r>
      <w:r w:rsidRPr="00ED443D">
        <w:rPr>
          <w:sz w:val="20"/>
          <w:szCs w:val="20"/>
        </w:rPr>
        <w:t>. Dykinson: Universidad de Jaén, Vicerrectorado de Investigación2017, pp. 147-175.</w:t>
      </w:r>
    </w:p>
    <w:p w:rsidR="00A524A8" w:rsidRPr="00A524A8" w:rsidRDefault="00A524A8" w:rsidP="00A524A8">
      <w:pPr>
        <w:pStyle w:val="Prrafodelista"/>
        <w:rPr>
          <w:sz w:val="20"/>
          <w:szCs w:val="20"/>
        </w:rPr>
      </w:pPr>
    </w:p>
    <w:p w:rsidR="00A524A8" w:rsidRPr="00ED443D" w:rsidRDefault="00A524A8" w:rsidP="00ED443D">
      <w:pPr>
        <w:pStyle w:val="Prrafodelista"/>
        <w:numPr>
          <w:ilvl w:val="0"/>
          <w:numId w:val="5"/>
        </w:numPr>
        <w:jc w:val="both"/>
        <w:rPr>
          <w:sz w:val="20"/>
          <w:szCs w:val="20"/>
        </w:rPr>
      </w:pPr>
      <w:r w:rsidRPr="00A524A8">
        <w:rPr>
          <w:b/>
          <w:caps/>
          <w:color w:val="943634" w:themeColor="accent2" w:themeShade="BF"/>
          <w:sz w:val="20"/>
          <w:szCs w:val="20"/>
        </w:rPr>
        <w:t>Campoy Miñarro</w:t>
      </w:r>
      <w:r w:rsidRPr="00A524A8">
        <w:rPr>
          <w:b/>
          <w:color w:val="943634" w:themeColor="accent2" w:themeShade="BF"/>
          <w:sz w:val="20"/>
          <w:szCs w:val="20"/>
        </w:rPr>
        <w:t>, Manuel.</w:t>
      </w:r>
      <w:r>
        <w:rPr>
          <w:sz w:val="20"/>
          <w:szCs w:val="20"/>
        </w:rPr>
        <w:t xml:space="preserve"> “Ministerio Fiscal y protección de la salud de los consumidores”: </w:t>
      </w:r>
      <w:r w:rsidRPr="00A524A8">
        <w:rPr>
          <w:i/>
          <w:sz w:val="20"/>
          <w:szCs w:val="20"/>
        </w:rPr>
        <w:t>Revista del Ministerio Fiscal</w:t>
      </w:r>
      <w:r>
        <w:rPr>
          <w:sz w:val="20"/>
          <w:szCs w:val="20"/>
        </w:rPr>
        <w:t xml:space="preserve">, nº </w:t>
      </w:r>
      <w:r w:rsidRPr="00A524A8">
        <w:rPr>
          <w:sz w:val="20"/>
          <w:szCs w:val="20"/>
        </w:rPr>
        <w:t>4, (2017)</w:t>
      </w:r>
      <w:r>
        <w:rPr>
          <w:sz w:val="20"/>
          <w:szCs w:val="20"/>
        </w:rPr>
        <w:t>, pp. 41-59.</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Castaños Castro</w:t>
      </w:r>
      <w:r w:rsidRPr="00ED443D">
        <w:rPr>
          <w:b/>
          <w:color w:val="943634" w:themeColor="accent2" w:themeShade="BF"/>
          <w:sz w:val="20"/>
          <w:szCs w:val="20"/>
        </w:rPr>
        <w:t>, Paula.</w:t>
      </w:r>
      <w:r w:rsidR="00B37C86">
        <w:rPr>
          <w:b/>
          <w:color w:val="943634" w:themeColor="accent2" w:themeShade="BF"/>
          <w:sz w:val="20"/>
          <w:szCs w:val="20"/>
        </w:rPr>
        <w:t xml:space="preserve"> </w:t>
      </w:r>
      <w:r w:rsidRPr="00ED443D">
        <w:rPr>
          <w:sz w:val="20"/>
          <w:szCs w:val="20"/>
        </w:rPr>
        <w:t xml:space="preserve">“Problemas de legalidad del procedimiento notarial de ejecución hipotecaria”: </w:t>
      </w:r>
      <w:r w:rsidRPr="00ED443D">
        <w:rPr>
          <w:i/>
          <w:sz w:val="20"/>
          <w:szCs w:val="20"/>
        </w:rPr>
        <w:t>Revista de Derecho Civil</w:t>
      </w:r>
      <w:r w:rsidRPr="00ED443D">
        <w:rPr>
          <w:sz w:val="20"/>
          <w:szCs w:val="20"/>
        </w:rPr>
        <w:t>, vol. 4, nº. 2 (abril-junio, 2017), 2017, pp. 83-119.</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Davara Fernández de Marcos</w:t>
      </w:r>
      <w:r w:rsidRPr="00ED443D">
        <w:rPr>
          <w:b/>
          <w:color w:val="943634" w:themeColor="accent2" w:themeShade="BF"/>
          <w:sz w:val="20"/>
          <w:szCs w:val="20"/>
        </w:rPr>
        <w:t>, Laura.</w:t>
      </w:r>
      <w:r w:rsidR="00B37C86">
        <w:rPr>
          <w:b/>
          <w:color w:val="943634" w:themeColor="accent2" w:themeShade="BF"/>
          <w:sz w:val="20"/>
          <w:szCs w:val="20"/>
        </w:rPr>
        <w:t xml:space="preserve"> </w:t>
      </w:r>
      <w:r w:rsidRPr="00ED443D">
        <w:rPr>
          <w:sz w:val="20"/>
          <w:szCs w:val="20"/>
        </w:rPr>
        <w:t xml:space="preserve">“Una primera aproximación al Anteproyecto de Ley Orgánica de Protección de Datos”: </w:t>
      </w:r>
      <w:r w:rsidRPr="00ED443D">
        <w:rPr>
          <w:i/>
          <w:sz w:val="20"/>
          <w:szCs w:val="20"/>
        </w:rPr>
        <w:t>Actualidad administrativa</w:t>
      </w:r>
      <w:r w:rsidRPr="00ED443D">
        <w:rPr>
          <w:sz w:val="20"/>
          <w:szCs w:val="20"/>
        </w:rPr>
        <w:t>, nº 11, 2017.</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de la Vega Justribó</w:t>
      </w:r>
      <w:r w:rsidRPr="00ED443D">
        <w:rPr>
          <w:b/>
          <w:color w:val="943634" w:themeColor="accent2" w:themeShade="BF"/>
          <w:sz w:val="20"/>
          <w:szCs w:val="20"/>
        </w:rPr>
        <w:t>, Bárbara.</w:t>
      </w:r>
      <w:r w:rsidR="00B37C86">
        <w:rPr>
          <w:b/>
          <w:color w:val="943634" w:themeColor="accent2" w:themeShade="BF"/>
          <w:sz w:val="20"/>
          <w:szCs w:val="20"/>
        </w:rPr>
        <w:t xml:space="preserve"> </w:t>
      </w:r>
      <w:r w:rsidRPr="00ED443D">
        <w:rPr>
          <w:sz w:val="20"/>
          <w:szCs w:val="20"/>
        </w:rPr>
        <w:t xml:space="preserve">“Responsabilidad por los daños y perjuicios derivados del deficiente suministro de energía eléctrica: el comercializador responde frente a los consumidores sin perjuicio de la acción de repetición contra el distribuidor”: </w:t>
      </w:r>
      <w:r w:rsidRPr="00ED443D">
        <w:rPr>
          <w:i/>
          <w:sz w:val="20"/>
          <w:szCs w:val="20"/>
        </w:rPr>
        <w:t>Revista crítica de derecho inmobiliario</w:t>
      </w:r>
      <w:r w:rsidRPr="00ED443D">
        <w:rPr>
          <w:sz w:val="20"/>
          <w:szCs w:val="20"/>
        </w:rPr>
        <w:t>, Año nº 93, nº 763, 2017, pp. 2704-2723.</w:t>
      </w:r>
    </w:p>
    <w:p w:rsidR="00ED443D" w:rsidRPr="00ED443D" w:rsidRDefault="00ED443D" w:rsidP="00ED443D">
      <w:pPr>
        <w:pStyle w:val="Prrafodelista"/>
        <w:jc w:val="both"/>
        <w:rPr>
          <w:b/>
          <w:color w:val="943634" w:themeColor="accent2" w:themeShade="BF"/>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de Prada Solaesa</w:t>
      </w:r>
      <w:r w:rsidRPr="00ED443D">
        <w:rPr>
          <w:b/>
          <w:color w:val="943634" w:themeColor="accent2" w:themeShade="BF"/>
          <w:sz w:val="20"/>
          <w:szCs w:val="20"/>
        </w:rPr>
        <w:t>, María del Pilar.</w:t>
      </w:r>
      <w:r w:rsidR="00B37C86">
        <w:rPr>
          <w:b/>
          <w:color w:val="943634" w:themeColor="accent2" w:themeShade="BF"/>
          <w:sz w:val="20"/>
          <w:szCs w:val="20"/>
        </w:rPr>
        <w:t xml:space="preserve"> </w:t>
      </w:r>
      <w:r w:rsidRPr="00ED443D">
        <w:rPr>
          <w:sz w:val="20"/>
          <w:szCs w:val="20"/>
        </w:rPr>
        <w:t xml:space="preserve">“El futuro de nuestro sistema hipotecario”: </w:t>
      </w:r>
      <w:r w:rsidRPr="00ED443D">
        <w:rPr>
          <w:i/>
          <w:sz w:val="20"/>
          <w:szCs w:val="20"/>
        </w:rPr>
        <w:t>El notario del siglo XXI: revista del Colegio Notarial de Madrid</w:t>
      </w:r>
      <w:r w:rsidRPr="00ED443D">
        <w:rPr>
          <w:sz w:val="20"/>
          <w:szCs w:val="20"/>
        </w:rPr>
        <w:t>, nº. 75, 2017, pp. 8-15.</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Deroulez</w:t>
      </w:r>
      <w:r w:rsidRPr="00ED443D">
        <w:rPr>
          <w:b/>
          <w:color w:val="943634" w:themeColor="accent2" w:themeShade="BF"/>
          <w:sz w:val="20"/>
          <w:szCs w:val="20"/>
        </w:rPr>
        <w:t>, Jérôme.</w:t>
      </w:r>
      <w:r w:rsidR="00B37C86">
        <w:rPr>
          <w:b/>
          <w:color w:val="943634" w:themeColor="accent2" w:themeShade="BF"/>
          <w:sz w:val="20"/>
          <w:szCs w:val="20"/>
        </w:rPr>
        <w:t xml:space="preserve"> </w:t>
      </w:r>
      <w:r w:rsidRPr="00ED443D">
        <w:rPr>
          <w:sz w:val="20"/>
          <w:szCs w:val="20"/>
        </w:rPr>
        <w:t xml:space="preserve">“Protection et sécurité des donnéespersonnelles: premiersavertissements de la CNIL”: </w:t>
      </w:r>
      <w:r w:rsidRPr="00ED443D">
        <w:rPr>
          <w:i/>
          <w:sz w:val="20"/>
          <w:szCs w:val="20"/>
        </w:rPr>
        <w:t>Semainejuridique</w:t>
      </w:r>
      <w:r w:rsidRPr="00ED443D">
        <w:rPr>
          <w:sz w:val="20"/>
          <w:szCs w:val="20"/>
        </w:rPr>
        <w:t>, nº 42, 2017, pp. 1892-1895.</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Domínguez Ruiz</w:t>
      </w:r>
      <w:r w:rsidRPr="00ED443D">
        <w:rPr>
          <w:b/>
          <w:color w:val="943634" w:themeColor="accent2" w:themeShade="BF"/>
          <w:sz w:val="20"/>
          <w:szCs w:val="20"/>
        </w:rPr>
        <w:t>, Lidia.</w:t>
      </w:r>
      <w:r w:rsidR="00B37C86">
        <w:rPr>
          <w:b/>
          <w:color w:val="943634" w:themeColor="accent2" w:themeShade="BF"/>
          <w:sz w:val="20"/>
          <w:szCs w:val="20"/>
        </w:rPr>
        <w:t xml:space="preserve"> </w:t>
      </w:r>
      <w:r w:rsidRPr="00ED443D">
        <w:rPr>
          <w:sz w:val="20"/>
          <w:szCs w:val="20"/>
        </w:rPr>
        <w:t xml:space="preserve">“La plataforma europea para la resolución de litigios en línea en materia de consumo” en </w:t>
      </w:r>
      <w:r w:rsidRPr="00ED443D">
        <w:rPr>
          <w:i/>
          <w:sz w:val="20"/>
          <w:szCs w:val="20"/>
        </w:rPr>
        <w:t>La mediación como método para la resolución de conflictos</w:t>
      </w:r>
      <w:r w:rsidRPr="00ED443D">
        <w:rPr>
          <w:sz w:val="20"/>
          <w:szCs w:val="20"/>
        </w:rPr>
        <w:t>. Dykinson: Universidad de Jaén, Vicerrectorado de Investigación2017, pp. 413-427.</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Esteban de la Rosa</w:t>
      </w:r>
      <w:r w:rsidRPr="00ED443D">
        <w:rPr>
          <w:b/>
          <w:color w:val="943634" w:themeColor="accent2" w:themeShade="BF"/>
          <w:sz w:val="20"/>
          <w:szCs w:val="20"/>
        </w:rPr>
        <w:t>, Fernando.</w:t>
      </w:r>
      <w:r w:rsidR="00B37C86">
        <w:rPr>
          <w:b/>
          <w:color w:val="943634" w:themeColor="accent2" w:themeShade="BF"/>
          <w:sz w:val="20"/>
          <w:szCs w:val="20"/>
        </w:rPr>
        <w:t xml:space="preserve"> </w:t>
      </w:r>
      <w:r w:rsidRPr="00ED443D">
        <w:rPr>
          <w:sz w:val="20"/>
          <w:szCs w:val="20"/>
        </w:rPr>
        <w:t xml:space="preserve">“La vertebración del régimen español de la mediación de consumo en el marco del Derecho europeo”: </w:t>
      </w:r>
      <w:r w:rsidRPr="00ED443D">
        <w:rPr>
          <w:i/>
          <w:sz w:val="20"/>
          <w:szCs w:val="20"/>
        </w:rPr>
        <w:t>IDP: revista de Internet, derecho y política</w:t>
      </w:r>
      <w:r w:rsidRPr="00ED443D">
        <w:rPr>
          <w:sz w:val="20"/>
          <w:szCs w:val="20"/>
        </w:rPr>
        <w:t>, nº. 25, 2017.</w:t>
      </w:r>
    </w:p>
    <w:p w:rsidR="00ED443D" w:rsidRPr="00ED443D" w:rsidRDefault="00ED443D" w:rsidP="00ED443D">
      <w:pPr>
        <w:pStyle w:val="Prrafodelista"/>
        <w:jc w:val="both"/>
        <w:rPr>
          <w:sz w:val="20"/>
          <w:szCs w:val="20"/>
        </w:rPr>
      </w:pPr>
    </w:p>
    <w:p w:rsid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Fernández Seijo</w:t>
      </w:r>
      <w:r w:rsidRPr="00ED443D">
        <w:rPr>
          <w:b/>
          <w:color w:val="943634" w:themeColor="accent2" w:themeShade="BF"/>
          <w:sz w:val="20"/>
          <w:szCs w:val="20"/>
        </w:rPr>
        <w:t xml:space="preserve">, José María; </w:t>
      </w:r>
      <w:r w:rsidRPr="00ED443D">
        <w:rPr>
          <w:b/>
          <w:caps/>
          <w:color w:val="943634" w:themeColor="accent2" w:themeShade="BF"/>
          <w:sz w:val="20"/>
          <w:szCs w:val="20"/>
        </w:rPr>
        <w:t>Blanco Saralegui</w:t>
      </w:r>
      <w:r w:rsidRPr="00ED443D">
        <w:rPr>
          <w:b/>
          <w:color w:val="943634" w:themeColor="accent2" w:themeShade="BF"/>
          <w:sz w:val="20"/>
          <w:szCs w:val="20"/>
        </w:rPr>
        <w:t xml:space="preserve">, José María; </w:t>
      </w:r>
      <w:r w:rsidRPr="00ED443D">
        <w:rPr>
          <w:b/>
          <w:caps/>
          <w:color w:val="943634" w:themeColor="accent2" w:themeShade="BF"/>
          <w:sz w:val="20"/>
          <w:szCs w:val="20"/>
        </w:rPr>
        <w:t>Sanjuan y Sanjuan</w:t>
      </w:r>
      <w:r w:rsidRPr="00ED443D">
        <w:rPr>
          <w:b/>
          <w:color w:val="943634" w:themeColor="accent2" w:themeShade="BF"/>
          <w:sz w:val="20"/>
          <w:szCs w:val="20"/>
        </w:rPr>
        <w:t>, Enrique.</w:t>
      </w:r>
      <w:r w:rsidR="00B37C86">
        <w:rPr>
          <w:b/>
          <w:color w:val="943634" w:themeColor="accent2" w:themeShade="BF"/>
          <w:sz w:val="20"/>
          <w:szCs w:val="20"/>
        </w:rPr>
        <w:t xml:space="preserve"> </w:t>
      </w:r>
      <w:r w:rsidRPr="00ED443D">
        <w:rPr>
          <w:sz w:val="20"/>
          <w:szCs w:val="20"/>
        </w:rPr>
        <w:t xml:space="preserve">“La vinculación de la nulidad de la garantía hipotecaria a la nulidad del contrato de préstamo en supuesto de consumidores. ¿Es posible la resolución anticipada de un contrato de préstamo como consecuencia de la anulación de la garantía hipotecaria?”: </w:t>
      </w:r>
      <w:r w:rsidRPr="00ED443D">
        <w:rPr>
          <w:i/>
          <w:sz w:val="20"/>
          <w:szCs w:val="20"/>
        </w:rPr>
        <w:t>Revista Consumo y Empresa</w:t>
      </w:r>
      <w:r w:rsidRPr="00ED443D">
        <w:rPr>
          <w:sz w:val="20"/>
          <w:szCs w:val="20"/>
        </w:rPr>
        <w:t xml:space="preserve">, nº 6, Diciembre 2017. </w:t>
      </w:r>
    </w:p>
    <w:p w:rsidR="00A524A8" w:rsidRPr="00A524A8" w:rsidRDefault="00A524A8" w:rsidP="00A524A8">
      <w:pPr>
        <w:pStyle w:val="Prrafodelista"/>
        <w:rPr>
          <w:sz w:val="20"/>
          <w:szCs w:val="20"/>
        </w:rPr>
      </w:pPr>
    </w:p>
    <w:p w:rsidR="00A524A8" w:rsidRPr="00ED443D" w:rsidRDefault="00A524A8" w:rsidP="00ED443D">
      <w:pPr>
        <w:pStyle w:val="Prrafodelista"/>
        <w:numPr>
          <w:ilvl w:val="0"/>
          <w:numId w:val="5"/>
        </w:numPr>
        <w:jc w:val="both"/>
        <w:rPr>
          <w:sz w:val="20"/>
          <w:szCs w:val="20"/>
        </w:rPr>
      </w:pPr>
      <w:r w:rsidRPr="00A524A8">
        <w:rPr>
          <w:b/>
          <w:caps/>
          <w:color w:val="943634" w:themeColor="accent2" w:themeShade="BF"/>
          <w:sz w:val="20"/>
          <w:szCs w:val="20"/>
        </w:rPr>
        <w:t>Ferreirós Marcos</w:t>
      </w:r>
      <w:r w:rsidRPr="00A524A8">
        <w:rPr>
          <w:b/>
          <w:color w:val="943634" w:themeColor="accent2" w:themeShade="BF"/>
          <w:sz w:val="20"/>
          <w:szCs w:val="20"/>
        </w:rPr>
        <w:t>, Carlos-Eloy.</w:t>
      </w:r>
      <w:r>
        <w:rPr>
          <w:sz w:val="20"/>
          <w:szCs w:val="20"/>
        </w:rPr>
        <w:t xml:space="preserve"> “El papel del Ministerio Fiscal en la protección jurídica de los consumidores”: </w:t>
      </w:r>
      <w:r w:rsidRPr="00A524A8">
        <w:rPr>
          <w:i/>
          <w:sz w:val="20"/>
          <w:szCs w:val="20"/>
        </w:rPr>
        <w:t>Revista del Ministerio Fiscal</w:t>
      </w:r>
      <w:r>
        <w:rPr>
          <w:sz w:val="20"/>
          <w:szCs w:val="20"/>
        </w:rPr>
        <w:t>, nº 4, (2017), pp. 13 a 30.</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Fuentes Gómez</w:t>
      </w:r>
      <w:r w:rsidRPr="00ED443D">
        <w:rPr>
          <w:b/>
          <w:color w:val="943634" w:themeColor="accent2" w:themeShade="BF"/>
          <w:sz w:val="20"/>
          <w:szCs w:val="20"/>
        </w:rPr>
        <w:t>, Julio Carlos.</w:t>
      </w:r>
      <w:r w:rsidR="00B37C86">
        <w:rPr>
          <w:b/>
          <w:color w:val="943634" w:themeColor="accent2" w:themeShade="BF"/>
          <w:sz w:val="20"/>
          <w:szCs w:val="20"/>
        </w:rPr>
        <w:t xml:space="preserve"> </w:t>
      </w:r>
      <w:r w:rsidRPr="00ED443D">
        <w:rPr>
          <w:sz w:val="20"/>
          <w:szCs w:val="20"/>
        </w:rPr>
        <w:t xml:space="preserve">“La mediación en materia de consumo”: </w:t>
      </w:r>
      <w:r w:rsidRPr="00ED443D">
        <w:rPr>
          <w:i/>
          <w:sz w:val="20"/>
          <w:szCs w:val="20"/>
        </w:rPr>
        <w:t>Diario La Ley</w:t>
      </w:r>
      <w:r w:rsidRPr="00ED443D">
        <w:rPr>
          <w:sz w:val="20"/>
          <w:szCs w:val="20"/>
        </w:rPr>
        <w:t>, nº 9104, 2017.</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García de Pablos</w:t>
      </w:r>
      <w:r w:rsidRPr="00ED443D">
        <w:rPr>
          <w:b/>
          <w:color w:val="943634" w:themeColor="accent2" w:themeShade="BF"/>
          <w:sz w:val="20"/>
          <w:szCs w:val="20"/>
        </w:rPr>
        <w:t>, Jesús Félix.</w:t>
      </w:r>
      <w:r w:rsidR="00B37C86">
        <w:rPr>
          <w:b/>
          <w:color w:val="943634" w:themeColor="accent2" w:themeShade="BF"/>
          <w:sz w:val="20"/>
          <w:szCs w:val="20"/>
        </w:rPr>
        <w:t xml:space="preserve"> </w:t>
      </w:r>
      <w:r w:rsidRPr="00ED443D">
        <w:rPr>
          <w:sz w:val="20"/>
          <w:szCs w:val="20"/>
        </w:rPr>
        <w:t xml:space="preserve">“La nulidad de los contratos de crédito en moneda extranjera”: </w:t>
      </w:r>
      <w:r w:rsidRPr="00ED443D">
        <w:rPr>
          <w:i/>
          <w:sz w:val="20"/>
          <w:szCs w:val="20"/>
        </w:rPr>
        <w:t>Diario La Ley</w:t>
      </w:r>
      <w:r w:rsidRPr="00ED443D">
        <w:rPr>
          <w:sz w:val="20"/>
          <w:szCs w:val="20"/>
        </w:rPr>
        <w:t>, nº 9084, 2017.</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lastRenderedPageBreak/>
        <w:t>García Más</w:t>
      </w:r>
      <w:r w:rsidRPr="00ED443D">
        <w:rPr>
          <w:b/>
          <w:color w:val="943634" w:themeColor="accent2" w:themeShade="BF"/>
          <w:sz w:val="20"/>
          <w:szCs w:val="20"/>
        </w:rPr>
        <w:t>, Francisco Javier.</w:t>
      </w:r>
      <w:r w:rsidR="00B37C86">
        <w:rPr>
          <w:b/>
          <w:color w:val="943634" w:themeColor="accent2" w:themeShade="BF"/>
          <w:sz w:val="20"/>
          <w:szCs w:val="20"/>
        </w:rPr>
        <w:t xml:space="preserve"> </w:t>
      </w:r>
      <w:r w:rsidRPr="00ED443D">
        <w:rPr>
          <w:sz w:val="20"/>
          <w:szCs w:val="20"/>
        </w:rPr>
        <w:t xml:space="preserve">“De nuevo con la firma electrónica y otras cuestiones: Reglamento UE núm. 910/2014”: </w:t>
      </w:r>
      <w:r w:rsidRPr="00ED443D">
        <w:rPr>
          <w:i/>
          <w:sz w:val="20"/>
          <w:szCs w:val="20"/>
        </w:rPr>
        <w:t>Revista jurídica del notariado</w:t>
      </w:r>
      <w:r w:rsidRPr="00ED443D">
        <w:rPr>
          <w:sz w:val="20"/>
          <w:szCs w:val="20"/>
        </w:rPr>
        <w:t>, nº 102-103, 2017, págs. 113-188.</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Gámez Gumersindo</w:t>
      </w:r>
      <w:r w:rsidRPr="00ED443D">
        <w:rPr>
          <w:b/>
          <w:color w:val="943634" w:themeColor="accent2" w:themeShade="BF"/>
          <w:sz w:val="20"/>
          <w:szCs w:val="20"/>
        </w:rPr>
        <w:t>, Cristina.</w:t>
      </w:r>
      <w:r w:rsidR="00B37C86">
        <w:rPr>
          <w:b/>
          <w:color w:val="943634" w:themeColor="accent2" w:themeShade="BF"/>
          <w:sz w:val="20"/>
          <w:szCs w:val="20"/>
        </w:rPr>
        <w:t xml:space="preserve"> </w:t>
      </w:r>
      <w:r w:rsidRPr="00ED443D">
        <w:rPr>
          <w:sz w:val="20"/>
          <w:szCs w:val="20"/>
        </w:rPr>
        <w:t xml:space="preserve">“Préstamos hipotecarios: Abusividad de la cláusula relativa a los gastos de formalizacion de la hipoteca, imputados de forma genérica al consumidor”: </w:t>
      </w:r>
      <w:r w:rsidRPr="00ED443D">
        <w:rPr>
          <w:i/>
          <w:sz w:val="20"/>
          <w:szCs w:val="20"/>
        </w:rPr>
        <w:t>Revista de Derecho, Empresa y Sociedad (REDS)</w:t>
      </w:r>
      <w:r w:rsidRPr="00ED443D">
        <w:rPr>
          <w:sz w:val="20"/>
          <w:szCs w:val="20"/>
        </w:rPr>
        <w:t>, nº. 10, 2017, págs. 116-126.</w:t>
      </w:r>
    </w:p>
    <w:p w:rsidR="00ED443D" w:rsidRPr="00ED443D" w:rsidRDefault="00ED443D" w:rsidP="00ED443D">
      <w:pPr>
        <w:pStyle w:val="Prrafodelista"/>
        <w:jc w:val="both"/>
        <w:rPr>
          <w:sz w:val="20"/>
          <w:szCs w:val="20"/>
        </w:rPr>
      </w:pPr>
    </w:p>
    <w:p w:rsid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Gomá Lanzón</w:t>
      </w:r>
      <w:r w:rsidRPr="00ED443D">
        <w:rPr>
          <w:b/>
          <w:color w:val="943634" w:themeColor="accent2" w:themeShade="BF"/>
          <w:sz w:val="20"/>
          <w:szCs w:val="20"/>
        </w:rPr>
        <w:t>, Fernando.</w:t>
      </w:r>
      <w:r w:rsidR="00B37C86">
        <w:rPr>
          <w:b/>
          <w:color w:val="943634" w:themeColor="accent2" w:themeShade="BF"/>
          <w:sz w:val="20"/>
          <w:szCs w:val="20"/>
        </w:rPr>
        <w:t xml:space="preserve"> </w:t>
      </w:r>
      <w:r w:rsidRPr="00ED443D">
        <w:rPr>
          <w:sz w:val="20"/>
          <w:szCs w:val="20"/>
        </w:rPr>
        <w:t xml:space="preserve">“La problemática compensación por riesgo de tipo de interés en las hipotecas a tipo fijo”: </w:t>
      </w:r>
      <w:r w:rsidRPr="00ED443D">
        <w:rPr>
          <w:i/>
          <w:sz w:val="20"/>
          <w:szCs w:val="20"/>
        </w:rPr>
        <w:t>El notario del siglo XXI: revista del Colegio Notarial de Madrid</w:t>
      </w:r>
      <w:r w:rsidRPr="00ED443D">
        <w:rPr>
          <w:sz w:val="20"/>
          <w:szCs w:val="20"/>
        </w:rPr>
        <w:t>, nº. 75, 2017, págs. 48-51</w:t>
      </w:r>
      <w:r w:rsidR="00A524A8">
        <w:rPr>
          <w:sz w:val="20"/>
          <w:szCs w:val="20"/>
        </w:rPr>
        <w:t>.</w:t>
      </w:r>
    </w:p>
    <w:p w:rsidR="00A524A8" w:rsidRPr="00A524A8" w:rsidRDefault="00A524A8" w:rsidP="00A524A8">
      <w:pPr>
        <w:pStyle w:val="Prrafodelista"/>
        <w:rPr>
          <w:sz w:val="20"/>
          <w:szCs w:val="20"/>
        </w:rPr>
      </w:pPr>
    </w:p>
    <w:p w:rsidR="00A524A8" w:rsidRPr="00ED443D" w:rsidRDefault="00A524A8" w:rsidP="00ED443D">
      <w:pPr>
        <w:pStyle w:val="Prrafodelista"/>
        <w:numPr>
          <w:ilvl w:val="0"/>
          <w:numId w:val="5"/>
        </w:numPr>
        <w:jc w:val="both"/>
        <w:rPr>
          <w:sz w:val="20"/>
          <w:szCs w:val="20"/>
        </w:rPr>
      </w:pPr>
      <w:r w:rsidRPr="00A524A8">
        <w:rPr>
          <w:b/>
          <w:caps/>
          <w:color w:val="943634" w:themeColor="accent2" w:themeShade="BF"/>
          <w:sz w:val="20"/>
          <w:szCs w:val="20"/>
        </w:rPr>
        <w:t>Hernández Díaz-Ambrona</w:t>
      </w:r>
      <w:r w:rsidRPr="00A524A8">
        <w:rPr>
          <w:b/>
          <w:color w:val="943634" w:themeColor="accent2" w:themeShade="BF"/>
          <w:sz w:val="20"/>
          <w:szCs w:val="20"/>
        </w:rPr>
        <w:t>, Mª Dolores.</w:t>
      </w:r>
      <w:r>
        <w:rPr>
          <w:sz w:val="20"/>
          <w:szCs w:val="20"/>
        </w:rPr>
        <w:t xml:space="preserve"> “El hipotecante no deudor y el consumidor en materia de energía eléctrica como consumidores vulnerables”: </w:t>
      </w:r>
      <w:r w:rsidRPr="00C70365">
        <w:rPr>
          <w:i/>
          <w:sz w:val="20"/>
          <w:szCs w:val="20"/>
        </w:rPr>
        <w:t>Rev</w:t>
      </w:r>
      <w:r w:rsidR="00C70365" w:rsidRPr="00C70365">
        <w:rPr>
          <w:i/>
          <w:sz w:val="20"/>
          <w:szCs w:val="20"/>
        </w:rPr>
        <w:t>ista del Ministerio Fiscal</w:t>
      </w:r>
      <w:r w:rsidR="00C70365">
        <w:rPr>
          <w:sz w:val="20"/>
          <w:szCs w:val="20"/>
        </w:rPr>
        <w:t>, nº</w:t>
      </w:r>
      <w:r w:rsidRPr="00A524A8">
        <w:rPr>
          <w:sz w:val="20"/>
          <w:szCs w:val="20"/>
        </w:rPr>
        <w:t xml:space="preserve"> 4, (2017)</w:t>
      </w:r>
      <w:r>
        <w:rPr>
          <w:sz w:val="20"/>
          <w:szCs w:val="20"/>
        </w:rPr>
        <w:t>, pp. 76-93.</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Hernández Sáinz</w:t>
      </w:r>
      <w:r w:rsidRPr="00ED443D">
        <w:rPr>
          <w:b/>
          <w:color w:val="943634" w:themeColor="accent2" w:themeShade="BF"/>
          <w:sz w:val="20"/>
          <w:szCs w:val="20"/>
        </w:rPr>
        <w:t>, Esther.</w:t>
      </w:r>
      <w:r w:rsidR="00B37C86">
        <w:rPr>
          <w:b/>
          <w:color w:val="943634" w:themeColor="accent2" w:themeShade="BF"/>
          <w:sz w:val="20"/>
          <w:szCs w:val="20"/>
        </w:rPr>
        <w:t xml:space="preserve"> </w:t>
      </w:r>
      <w:r w:rsidRPr="00ED443D">
        <w:rPr>
          <w:sz w:val="20"/>
          <w:szCs w:val="20"/>
        </w:rPr>
        <w:t xml:space="preserve">“El plazo de reflexión en la contratación de préstamos hipotecarios: instrumentos para su garantía”: </w:t>
      </w:r>
      <w:r w:rsidRPr="00ED443D">
        <w:rPr>
          <w:i/>
          <w:sz w:val="20"/>
          <w:szCs w:val="20"/>
        </w:rPr>
        <w:t>Indret: Revista para el Análisis del Derecho</w:t>
      </w:r>
      <w:r w:rsidRPr="00ED443D">
        <w:rPr>
          <w:sz w:val="20"/>
          <w:szCs w:val="20"/>
        </w:rPr>
        <w:t>, nº. 4, 2017.</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Herrero Aparicio</w:t>
      </w:r>
      <w:r w:rsidRPr="00ED443D">
        <w:rPr>
          <w:b/>
          <w:color w:val="943634" w:themeColor="accent2" w:themeShade="BF"/>
          <w:sz w:val="20"/>
          <w:szCs w:val="20"/>
        </w:rPr>
        <w:t>, José Manuel.</w:t>
      </w:r>
      <w:r w:rsidR="00B37C86">
        <w:rPr>
          <w:b/>
          <w:color w:val="943634" w:themeColor="accent2" w:themeShade="BF"/>
          <w:sz w:val="20"/>
          <w:szCs w:val="20"/>
        </w:rPr>
        <w:t xml:space="preserve"> </w:t>
      </w:r>
      <w:r w:rsidRPr="00ED443D">
        <w:rPr>
          <w:sz w:val="20"/>
          <w:szCs w:val="20"/>
        </w:rPr>
        <w:t xml:space="preserve">“El impacto del Proyecto de Ley reguladora de los contratos de crédito inmobiliario en los acuerdos banca seguros”: </w:t>
      </w:r>
      <w:r w:rsidRPr="00ED443D">
        <w:rPr>
          <w:i/>
          <w:sz w:val="20"/>
          <w:szCs w:val="20"/>
        </w:rPr>
        <w:t>Actualidad jurídica Aranzadi</w:t>
      </w:r>
      <w:r w:rsidRPr="00ED443D">
        <w:rPr>
          <w:sz w:val="20"/>
          <w:szCs w:val="20"/>
        </w:rPr>
        <w:t>, nº 933, 2017, p. 9.</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Law</w:t>
      </w:r>
      <w:r w:rsidRPr="00ED443D">
        <w:rPr>
          <w:b/>
          <w:color w:val="943634" w:themeColor="accent2" w:themeShade="BF"/>
          <w:sz w:val="20"/>
          <w:szCs w:val="20"/>
        </w:rPr>
        <w:t>, Stephanie.</w:t>
      </w:r>
      <w:r w:rsidR="00B37C86">
        <w:rPr>
          <w:b/>
          <w:color w:val="943634" w:themeColor="accent2" w:themeShade="BF"/>
          <w:sz w:val="20"/>
          <w:szCs w:val="20"/>
        </w:rPr>
        <w:t xml:space="preserve"> </w:t>
      </w:r>
      <w:r w:rsidRPr="00ED443D">
        <w:rPr>
          <w:sz w:val="20"/>
          <w:szCs w:val="20"/>
        </w:rPr>
        <w:t xml:space="preserve">“At theCrossroads of ConsumerProtection, Data Protection and Private International Law: SomeRemarksonVereinfürKonsumenteninformation v. Amazon EU”: </w:t>
      </w:r>
      <w:r w:rsidRPr="00ED443D">
        <w:rPr>
          <w:i/>
          <w:sz w:val="20"/>
          <w:szCs w:val="20"/>
        </w:rPr>
        <w:t>Europeanlawreview</w:t>
      </w:r>
      <w:r w:rsidRPr="00ED443D">
        <w:rPr>
          <w:sz w:val="20"/>
          <w:szCs w:val="20"/>
        </w:rPr>
        <w:t>, nº 5, 2017, pp. 751-766.</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López Coronado</w:t>
      </w:r>
      <w:r w:rsidRPr="00ED443D">
        <w:rPr>
          <w:b/>
          <w:color w:val="943634" w:themeColor="accent2" w:themeShade="BF"/>
          <w:sz w:val="20"/>
          <w:szCs w:val="20"/>
        </w:rPr>
        <w:t>, Pablo Antonio.</w:t>
      </w:r>
      <w:r w:rsidR="00B37C86">
        <w:rPr>
          <w:b/>
          <w:color w:val="943634" w:themeColor="accent2" w:themeShade="BF"/>
          <w:sz w:val="20"/>
          <w:szCs w:val="20"/>
        </w:rPr>
        <w:t xml:space="preserve"> </w:t>
      </w:r>
      <w:r w:rsidRPr="00ED443D">
        <w:rPr>
          <w:sz w:val="20"/>
          <w:szCs w:val="20"/>
        </w:rPr>
        <w:t xml:space="preserve">“El procedimiento declarativo ordinario. Nueva vía para declarar el vencimiento anticipado de un préstamo hipotecario”: </w:t>
      </w:r>
      <w:r w:rsidRPr="00ED443D">
        <w:rPr>
          <w:i/>
          <w:sz w:val="20"/>
          <w:szCs w:val="20"/>
        </w:rPr>
        <w:t>Revista de Derecho vLex</w:t>
      </w:r>
      <w:r w:rsidRPr="00ED443D">
        <w:rPr>
          <w:sz w:val="20"/>
          <w:szCs w:val="20"/>
        </w:rPr>
        <w:t xml:space="preserve">, Núm. 161, Octubre 2017. </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López Jiménez</w:t>
      </w:r>
      <w:r w:rsidRPr="00ED443D">
        <w:rPr>
          <w:b/>
          <w:color w:val="943634" w:themeColor="accent2" w:themeShade="BF"/>
          <w:sz w:val="20"/>
          <w:szCs w:val="20"/>
        </w:rPr>
        <w:t>, José María.</w:t>
      </w:r>
      <w:r w:rsidR="00B37C86">
        <w:rPr>
          <w:b/>
          <w:color w:val="943634" w:themeColor="accent2" w:themeShade="BF"/>
          <w:sz w:val="20"/>
          <w:szCs w:val="20"/>
        </w:rPr>
        <w:t xml:space="preserve"> </w:t>
      </w:r>
      <w:r w:rsidRPr="00ED443D">
        <w:rPr>
          <w:sz w:val="20"/>
          <w:szCs w:val="20"/>
        </w:rPr>
        <w:t xml:space="preserve">“Sentido común financiero e "hipotecas multidivisa" (comentario a la STS nº 608/2017, de 15 de noviembre)”: </w:t>
      </w:r>
      <w:r w:rsidRPr="00ED443D">
        <w:rPr>
          <w:i/>
          <w:sz w:val="20"/>
          <w:szCs w:val="20"/>
        </w:rPr>
        <w:t>Diario La Ley</w:t>
      </w:r>
      <w:r w:rsidRPr="00ED443D">
        <w:rPr>
          <w:sz w:val="20"/>
          <w:szCs w:val="20"/>
        </w:rPr>
        <w:t>, nº 9084, 2017.</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López San Luis</w:t>
      </w:r>
      <w:r w:rsidRPr="00ED443D">
        <w:rPr>
          <w:b/>
          <w:color w:val="943634" w:themeColor="accent2" w:themeShade="BF"/>
          <w:sz w:val="20"/>
          <w:szCs w:val="20"/>
        </w:rPr>
        <w:t>, Rocío.</w:t>
      </w:r>
      <w:r w:rsidR="00B37C86">
        <w:rPr>
          <w:b/>
          <w:color w:val="943634" w:themeColor="accent2" w:themeShade="BF"/>
          <w:sz w:val="20"/>
          <w:szCs w:val="20"/>
        </w:rPr>
        <w:t xml:space="preserve"> </w:t>
      </w:r>
      <w:r w:rsidRPr="00ED443D">
        <w:rPr>
          <w:sz w:val="20"/>
          <w:szCs w:val="20"/>
        </w:rPr>
        <w:t xml:space="preserve">“Responsabilidad de los garantes en el nuevo régimen de cantidades adelantadas en la compraventa de viviendas sobre plano tras la Ley 20/2015, de 14 de julio de ordenación, supervisión y solvencia de las entidades aseguradoras y reaseguradoras. (LOSSEAR)”: </w:t>
      </w:r>
      <w:r w:rsidRPr="00ED443D">
        <w:rPr>
          <w:i/>
          <w:sz w:val="20"/>
          <w:szCs w:val="20"/>
        </w:rPr>
        <w:t>Revista crítica de derecho inmobiliario</w:t>
      </w:r>
      <w:r w:rsidRPr="00ED443D">
        <w:rPr>
          <w:sz w:val="20"/>
          <w:szCs w:val="20"/>
        </w:rPr>
        <w:t>, Año nº 93, Nº 763, 2017, pp. 2349-2390.</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Lorente Howell</w:t>
      </w:r>
      <w:r w:rsidRPr="00ED443D">
        <w:rPr>
          <w:b/>
          <w:color w:val="943634" w:themeColor="accent2" w:themeShade="BF"/>
          <w:sz w:val="20"/>
          <w:szCs w:val="20"/>
        </w:rPr>
        <w:t>, José Luis.</w:t>
      </w:r>
      <w:r w:rsidR="00B37C86">
        <w:rPr>
          <w:b/>
          <w:color w:val="943634" w:themeColor="accent2" w:themeShade="BF"/>
          <w:sz w:val="20"/>
          <w:szCs w:val="20"/>
        </w:rPr>
        <w:t xml:space="preserve"> </w:t>
      </w:r>
      <w:r w:rsidRPr="00ED443D">
        <w:rPr>
          <w:sz w:val="20"/>
          <w:szCs w:val="20"/>
        </w:rPr>
        <w:t xml:space="preserve">“Transposición de MiFID II al ordenamiento interno español para mejorar la transparencia financiera”: </w:t>
      </w:r>
      <w:r w:rsidRPr="00ED443D">
        <w:rPr>
          <w:i/>
          <w:sz w:val="20"/>
          <w:szCs w:val="20"/>
        </w:rPr>
        <w:t>Actualidad jurídica Aranzadi</w:t>
      </w:r>
      <w:r w:rsidRPr="00ED443D">
        <w:rPr>
          <w:sz w:val="20"/>
          <w:szCs w:val="20"/>
        </w:rPr>
        <w:t>, nº 933, 2017, p. 8.</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Manrique Plaza</w:t>
      </w:r>
      <w:r w:rsidRPr="00ED443D">
        <w:rPr>
          <w:b/>
          <w:color w:val="943634" w:themeColor="accent2" w:themeShade="BF"/>
          <w:sz w:val="20"/>
          <w:szCs w:val="20"/>
        </w:rPr>
        <w:t>, Javier.</w:t>
      </w:r>
      <w:r w:rsidR="00B37C86">
        <w:rPr>
          <w:b/>
          <w:color w:val="943634" w:themeColor="accent2" w:themeShade="BF"/>
          <w:sz w:val="20"/>
          <w:szCs w:val="20"/>
        </w:rPr>
        <w:t xml:space="preserve"> </w:t>
      </w:r>
      <w:r w:rsidRPr="00ED443D">
        <w:rPr>
          <w:sz w:val="20"/>
          <w:szCs w:val="20"/>
        </w:rPr>
        <w:t xml:space="preserve">“Ejecución hipotecaria y título ejecutivo”: </w:t>
      </w:r>
      <w:r w:rsidRPr="00ED443D">
        <w:rPr>
          <w:i/>
          <w:sz w:val="20"/>
          <w:szCs w:val="20"/>
        </w:rPr>
        <w:t>El notario del siglo XXI: revista del Colegio Notarial de Madrid</w:t>
      </w:r>
      <w:r w:rsidRPr="00ED443D">
        <w:rPr>
          <w:sz w:val="20"/>
          <w:szCs w:val="20"/>
        </w:rPr>
        <w:t>, nº. 75, 2017, pp. 174-177.</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olor w:val="943634" w:themeColor="accent2" w:themeShade="BF"/>
          <w:sz w:val="20"/>
          <w:szCs w:val="20"/>
        </w:rPr>
        <w:t>MANRIQUE PLAZA, Javier.</w:t>
      </w:r>
      <w:r w:rsidR="00B37C86">
        <w:rPr>
          <w:b/>
          <w:color w:val="943634" w:themeColor="accent2" w:themeShade="BF"/>
          <w:sz w:val="20"/>
          <w:szCs w:val="20"/>
        </w:rPr>
        <w:t xml:space="preserve"> </w:t>
      </w:r>
      <w:r w:rsidRPr="00ED443D">
        <w:rPr>
          <w:sz w:val="20"/>
          <w:szCs w:val="20"/>
        </w:rPr>
        <w:t xml:space="preserve">“Firma electrónica y consentimiento”: </w:t>
      </w:r>
      <w:r w:rsidRPr="00ED443D">
        <w:rPr>
          <w:i/>
          <w:sz w:val="20"/>
          <w:szCs w:val="20"/>
        </w:rPr>
        <w:t>Revista jurídica del notariado</w:t>
      </w:r>
      <w:r w:rsidRPr="00ED443D">
        <w:rPr>
          <w:sz w:val="20"/>
          <w:szCs w:val="20"/>
        </w:rPr>
        <w:t>, nº 102-103, 2017, pp. 95-112.</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lastRenderedPageBreak/>
        <w:t>Marín Narros</w:t>
      </w:r>
      <w:r w:rsidRPr="00ED443D">
        <w:rPr>
          <w:b/>
          <w:color w:val="943634" w:themeColor="accent2" w:themeShade="BF"/>
          <w:sz w:val="20"/>
          <w:szCs w:val="20"/>
        </w:rPr>
        <w:t>, Héctor Daniel.</w:t>
      </w:r>
      <w:r w:rsidR="00B37C86">
        <w:rPr>
          <w:b/>
          <w:color w:val="943634" w:themeColor="accent2" w:themeShade="BF"/>
          <w:sz w:val="20"/>
          <w:szCs w:val="20"/>
        </w:rPr>
        <w:t xml:space="preserve"> </w:t>
      </w:r>
      <w:r w:rsidRPr="00ED443D">
        <w:rPr>
          <w:sz w:val="20"/>
          <w:szCs w:val="20"/>
        </w:rPr>
        <w:t xml:space="preserve">“Retroactividad, cosa juzgada, consideración de la condición del consumidor y superación del control de transparencia en los casos de cláusulas suelo según la doctrina contenida en las STJUE de 21 de diciembre de 2016, SSTS de 18 de enero de 2017, de 30 de enero de 2017, de 24 de febrero de 2017, de 9 de marzo de 2017 y ATS de 4 de abril de 2017”: </w:t>
      </w:r>
      <w:r w:rsidRPr="00ED443D">
        <w:rPr>
          <w:i/>
          <w:sz w:val="20"/>
          <w:szCs w:val="20"/>
        </w:rPr>
        <w:t>Revista crítica de derecho inmobiliario</w:t>
      </w:r>
      <w:r w:rsidRPr="00ED443D">
        <w:rPr>
          <w:sz w:val="20"/>
          <w:szCs w:val="20"/>
        </w:rPr>
        <w:t>, Año nº 93, nº 763, 2017, pp. 2784-2805.</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Marques Cebola</w:t>
      </w:r>
      <w:r w:rsidRPr="00ED443D">
        <w:rPr>
          <w:b/>
          <w:color w:val="943634" w:themeColor="accent2" w:themeShade="BF"/>
          <w:sz w:val="20"/>
          <w:szCs w:val="20"/>
        </w:rPr>
        <w:t>, Cátia.</w:t>
      </w:r>
      <w:r w:rsidR="00B37C86">
        <w:rPr>
          <w:b/>
          <w:color w:val="943634" w:themeColor="accent2" w:themeShade="BF"/>
          <w:sz w:val="20"/>
          <w:szCs w:val="20"/>
        </w:rPr>
        <w:t xml:space="preserve"> </w:t>
      </w:r>
      <w:r w:rsidRPr="00ED443D">
        <w:rPr>
          <w:sz w:val="20"/>
          <w:szCs w:val="20"/>
        </w:rPr>
        <w:t xml:space="preserve">“Mediación y arbitraje de consumo: una visión comparada de los modelos portugués y español”: </w:t>
      </w:r>
      <w:r w:rsidRPr="00ED443D">
        <w:rPr>
          <w:i/>
          <w:sz w:val="20"/>
          <w:szCs w:val="20"/>
        </w:rPr>
        <w:t>IDP: revista de Internet, derecho y política</w:t>
      </w:r>
      <w:r w:rsidRPr="00ED443D">
        <w:rPr>
          <w:sz w:val="20"/>
          <w:szCs w:val="20"/>
        </w:rPr>
        <w:t>, nº. 25, 2017.</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Martínez Pallarés</w:t>
      </w:r>
      <w:r w:rsidRPr="00ED443D">
        <w:rPr>
          <w:b/>
          <w:color w:val="943634" w:themeColor="accent2" w:themeShade="BF"/>
          <w:sz w:val="20"/>
          <w:szCs w:val="20"/>
        </w:rPr>
        <w:t>, José Ignacio.</w:t>
      </w:r>
      <w:r w:rsidR="00B37C86">
        <w:rPr>
          <w:b/>
          <w:color w:val="943634" w:themeColor="accent2" w:themeShade="BF"/>
          <w:sz w:val="20"/>
          <w:szCs w:val="20"/>
        </w:rPr>
        <w:t xml:space="preserve"> </w:t>
      </w:r>
      <w:r w:rsidRPr="00ED443D">
        <w:rPr>
          <w:sz w:val="20"/>
          <w:szCs w:val="20"/>
        </w:rPr>
        <w:t xml:space="preserve">“Acerca de la caducidad de la acción de nulidad de los Swaps en la Jurisprudencia del Tribunal Supremo: ¿un salto en el vacío?”: </w:t>
      </w:r>
      <w:r w:rsidRPr="00ED443D">
        <w:rPr>
          <w:i/>
          <w:sz w:val="20"/>
          <w:szCs w:val="20"/>
        </w:rPr>
        <w:t>Diario La Ley</w:t>
      </w:r>
      <w:r w:rsidRPr="00ED443D">
        <w:rPr>
          <w:sz w:val="20"/>
          <w:szCs w:val="20"/>
        </w:rPr>
        <w:t>, nº 9079, 2017.</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Merchán Murillo</w:t>
      </w:r>
      <w:r w:rsidRPr="00ED443D">
        <w:rPr>
          <w:b/>
          <w:color w:val="943634" w:themeColor="accent2" w:themeShade="BF"/>
          <w:sz w:val="20"/>
          <w:szCs w:val="20"/>
        </w:rPr>
        <w:t>, Antonio.</w:t>
      </w:r>
      <w:r w:rsidR="00B37C86">
        <w:rPr>
          <w:b/>
          <w:color w:val="943634" w:themeColor="accent2" w:themeShade="BF"/>
          <w:sz w:val="20"/>
          <w:szCs w:val="20"/>
        </w:rPr>
        <w:t xml:space="preserve"> </w:t>
      </w:r>
      <w:r w:rsidRPr="00ED443D">
        <w:rPr>
          <w:sz w:val="20"/>
          <w:szCs w:val="20"/>
        </w:rPr>
        <w:t xml:space="preserve">“Buena fe, fiabilidad y confianza en el uso de la firma electrónica”: </w:t>
      </w:r>
      <w:r w:rsidRPr="00ED443D">
        <w:rPr>
          <w:i/>
          <w:sz w:val="20"/>
          <w:szCs w:val="20"/>
        </w:rPr>
        <w:t>La Ley mercantil</w:t>
      </w:r>
      <w:r w:rsidRPr="00ED443D">
        <w:rPr>
          <w:sz w:val="20"/>
          <w:szCs w:val="20"/>
        </w:rPr>
        <w:t>, nº. 39 (septiembre), 2017, p. 4.</w:t>
      </w:r>
    </w:p>
    <w:p w:rsidR="00ED443D" w:rsidRPr="00ED443D" w:rsidRDefault="00ED443D" w:rsidP="00ED443D">
      <w:pPr>
        <w:pStyle w:val="Prrafodelista"/>
        <w:jc w:val="both"/>
        <w:rPr>
          <w:sz w:val="20"/>
          <w:szCs w:val="20"/>
        </w:rPr>
      </w:pPr>
    </w:p>
    <w:p w:rsid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Moreno García</w:t>
      </w:r>
      <w:r w:rsidRPr="00ED443D">
        <w:rPr>
          <w:b/>
          <w:color w:val="943634" w:themeColor="accent2" w:themeShade="BF"/>
          <w:sz w:val="20"/>
          <w:szCs w:val="20"/>
        </w:rPr>
        <w:t>, Lucía.</w:t>
      </w:r>
      <w:r w:rsidR="00B37C86">
        <w:rPr>
          <w:b/>
          <w:color w:val="943634" w:themeColor="accent2" w:themeShade="BF"/>
          <w:sz w:val="20"/>
          <w:szCs w:val="20"/>
        </w:rPr>
        <w:t xml:space="preserve"> </w:t>
      </w:r>
      <w:r w:rsidRPr="00ED443D">
        <w:rPr>
          <w:sz w:val="20"/>
          <w:szCs w:val="20"/>
        </w:rPr>
        <w:t xml:space="preserve">“Mediación de consumo y claúsulas abusivas”: en </w:t>
      </w:r>
      <w:r w:rsidRPr="00ED443D">
        <w:rPr>
          <w:i/>
          <w:sz w:val="20"/>
          <w:szCs w:val="20"/>
        </w:rPr>
        <w:t>La mediación como método para la resolución de conflictos</w:t>
      </w:r>
      <w:r w:rsidRPr="00ED443D">
        <w:rPr>
          <w:sz w:val="20"/>
          <w:szCs w:val="20"/>
        </w:rPr>
        <w:t>. Dykinson: Universidad de Jaén, Vicerrectorado de Investigación, 2017, pp. 429-443.</w:t>
      </w:r>
    </w:p>
    <w:p w:rsidR="00DF2763" w:rsidRPr="00DF2763" w:rsidRDefault="00DF2763" w:rsidP="00DF2763">
      <w:pPr>
        <w:pStyle w:val="Prrafodelista"/>
        <w:rPr>
          <w:sz w:val="20"/>
          <w:szCs w:val="20"/>
        </w:rPr>
      </w:pPr>
    </w:p>
    <w:p w:rsidR="00DF2763" w:rsidRPr="00ED443D" w:rsidRDefault="00DF2763" w:rsidP="00ED443D">
      <w:pPr>
        <w:pStyle w:val="Prrafodelista"/>
        <w:numPr>
          <w:ilvl w:val="0"/>
          <w:numId w:val="5"/>
        </w:numPr>
        <w:jc w:val="both"/>
        <w:rPr>
          <w:sz w:val="20"/>
          <w:szCs w:val="20"/>
        </w:rPr>
      </w:pPr>
      <w:r w:rsidRPr="00DF2763">
        <w:rPr>
          <w:b/>
          <w:caps/>
          <w:color w:val="943634" w:themeColor="accent2" w:themeShade="BF"/>
          <w:sz w:val="20"/>
          <w:szCs w:val="20"/>
        </w:rPr>
        <w:t>Muñoz Cuesta</w:t>
      </w:r>
      <w:r w:rsidRPr="00DF2763">
        <w:rPr>
          <w:b/>
          <w:color w:val="943634" w:themeColor="accent2" w:themeShade="BF"/>
          <w:sz w:val="20"/>
          <w:szCs w:val="20"/>
        </w:rPr>
        <w:t>, Javier.</w:t>
      </w:r>
      <w:r>
        <w:rPr>
          <w:sz w:val="20"/>
          <w:szCs w:val="20"/>
        </w:rPr>
        <w:t xml:space="preserve"> “Protección Penal del consumidor”: </w:t>
      </w:r>
      <w:r w:rsidRPr="00DF2763">
        <w:rPr>
          <w:i/>
          <w:sz w:val="20"/>
          <w:szCs w:val="20"/>
        </w:rPr>
        <w:t>Revista del Ministerio Fiscal</w:t>
      </w:r>
      <w:r>
        <w:rPr>
          <w:sz w:val="20"/>
          <w:szCs w:val="20"/>
        </w:rPr>
        <w:t>, nº</w:t>
      </w:r>
      <w:r w:rsidRPr="00DF2763">
        <w:rPr>
          <w:sz w:val="20"/>
          <w:szCs w:val="20"/>
        </w:rPr>
        <w:t xml:space="preserve"> 4, (2017)</w:t>
      </w:r>
      <w:r>
        <w:rPr>
          <w:sz w:val="20"/>
          <w:szCs w:val="20"/>
        </w:rPr>
        <w:t xml:space="preserve">, pp. 124-141. </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Nieto Carol</w:t>
      </w:r>
      <w:r w:rsidRPr="00ED443D">
        <w:rPr>
          <w:b/>
          <w:color w:val="943634" w:themeColor="accent2" w:themeShade="BF"/>
          <w:sz w:val="20"/>
          <w:szCs w:val="20"/>
        </w:rPr>
        <w:t>, Ubaldo.</w:t>
      </w:r>
      <w:r w:rsidR="00B37C86">
        <w:rPr>
          <w:b/>
          <w:color w:val="943634" w:themeColor="accent2" w:themeShade="BF"/>
          <w:sz w:val="20"/>
          <w:szCs w:val="20"/>
        </w:rPr>
        <w:t xml:space="preserve"> </w:t>
      </w:r>
      <w:r w:rsidRPr="00ED443D">
        <w:rPr>
          <w:sz w:val="20"/>
          <w:szCs w:val="20"/>
        </w:rPr>
        <w:t xml:space="preserve">“Es necesaria una ley de Transparencia Bancaria”: </w:t>
      </w:r>
      <w:r w:rsidRPr="00ED443D">
        <w:rPr>
          <w:i/>
          <w:sz w:val="20"/>
          <w:szCs w:val="20"/>
        </w:rPr>
        <w:t>El notario del siglo XXI: revista del Colegio Notarial de Madrid</w:t>
      </w:r>
      <w:r w:rsidRPr="00ED443D">
        <w:rPr>
          <w:sz w:val="20"/>
          <w:szCs w:val="20"/>
        </w:rPr>
        <w:t>, nº. 75, 2017, p. 34-41.</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Padrón Villalba</w:t>
      </w:r>
      <w:r w:rsidRPr="00ED443D">
        <w:rPr>
          <w:b/>
          <w:color w:val="943634" w:themeColor="accent2" w:themeShade="BF"/>
          <w:sz w:val="20"/>
          <w:szCs w:val="20"/>
        </w:rPr>
        <w:t>, Alba.</w:t>
      </w:r>
      <w:r w:rsidR="00B37C86">
        <w:rPr>
          <w:b/>
          <w:color w:val="943634" w:themeColor="accent2" w:themeShade="BF"/>
          <w:sz w:val="20"/>
          <w:szCs w:val="20"/>
        </w:rPr>
        <w:t xml:space="preserve"> </w:t>
      </w:r>
      <w:r w:rsidRPr="00ED443D">
        <w:rPr>
          <w:sz w:val="20"/>
          <w:szCs w:val="20"/>
        </w:rPr>
        <w:t xml:space="preserve">“Acuerdos extrajudiciales de pago: nueva regulación y evaluación de su eficacia”: </w:t>
      </w:r>
      <w:r w:rsidRPr="00ED443D">
        <w:rPr>
          <w:i/>
          <w:sz w:val="20"/>
          <w:szCs w:val="20"/>
        </w:rPr>
        <w:t>Anales de la Facultad de Derecho</w:t>
      </w:r>
      <w:r w:rsidRPr="00ED443D">
        <w:rPr>
          <w:sz w:val="20"/>
          <w:szCs w:val="20"/>
        </w:rPr>
        <w:t>, Nº 33, 2016, p. 127-144.</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Pañeda Usunáriz</w:t>
      </w:r>
      <w:r w:rsidRPr="00ED443D">
        <w:rPr>
          <w:b/>
          <w:color w:val="943634" w:themeColor="accent2" w:themeShade="BF"/>
          <w:sz w:val="20"/>
          <w:szCs w:val="20"/>
        </w:rPr>
        <w:t>, Francisco.</w:t>
      </w:r>
      <w:r w:rsidR="00B37C86">
        <w:rPr>
          <w:b/>
          <w:color w:val="943634" w:themeColor="accent2" w:themeShade="BF"/>
          <w:sz w:val="20"/>
          <w:szCs w:val="20"/>
        </w:rPr>
        <w:t xml:space="preserve"> </w:t>
      </w:r>
      <w:r w:rsidRPr="00ED443D">
        <w:rPr>
          <w:sz w:val="20"/>
          <w:szCs w:val="20"/>
        </w:rPr>
        <w:t xml:space="preserve">“La protección del inversor en la Ley 5/2015 reguladora del crowfunding”: </w:t>
      </w:r>
      <w:r w:rsidRPr="00ED443D">
        <w:rPr>
          <w:i/>
          <w:sz w:val="20"/>
          <w:szCs w:val="20"/>
        </w:rPr>
        <w:t>Revista Consumo y Empresa</w:t>
      </w:r>
      <w:r w:rsidRPr="00ED443D">
        <w:rPr>
          <w:sz w:val="20"/>
          <w:szCs w:val="20"/>
        </w:rPr>
        <w:t xml:space="preserve">, nº 6, Diciembre 2017. </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Pérez Cambero</w:t>
      </w:r>
      <w:r w:rsidRPr="00ED443D">
        <w:rPr>
          <w:b/>
          <w:color w:val="943634" w:themeColor="accent2" w:themeShade="BF"/>
          <w:sz w:val="20"/>
          <w:szCs w:val="20"/>
        </w:rPr>
        <w:t>, Raúl.</w:t>
      </w:r>
      <w:r w:rsidR="00B37C86">
        <w:rPr>
          <w:b/>
          <w:color w:val="943634" w:themeColor="accent2" w:themeShade="BF"/>
          <w:sz w:val="20"/>
          <w:szCs w:val="20"/>
        </w:rPr>
        <w:t xml:space="preserve"> </w:t>
      </w:r>
      <w:r w:rsidRPr="00ED443D">
        <w:rPr>
          <w:sz w:val="20"/>
          <w:szCs w:val="20"/>
        </w:rPr>
        <w:t xml:space="preserve">“Cómo adecuarse a las exigencias del Reglamento General de Protección de Datos”: </w:t>
      </w:r>
      <w:r w:rsidRPr="00ED443D">
        <w:rPr>
          <w:i/>
          <w:sz w:val="20"/>
          <w:szCs w:val="20"/>
        </w:rPr>
        <w:t>Actualidad administrativa</w:t>
      </w:r>
      <w:r w:rsidRPr="00ED443D">
        <w:rPr>
          <w:sz w:val="20"/>
          <w:szCs w:val="20"/>
        </w:rPr>
        <w:t>, nº 11, 2017.</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Pérez Hereza</w:t>
      </w:r>
      <w:r w:rsidRPr="00ED443D">
        <w:rPr>
          <w:b/>
          <w:color w:val="943634" w:themeColor="accent2" w:themeShade="BF"/>
          <w:sz w:val="20"/>
          <w:szCs w:val="20"/>
        </w:rPr>
        <w:t>, Juan.</w:t>
      </w:r>
      <w:r w:rsidR="00B37C86">
        <w:rPr>
          <w:b/>
          <w:color w:val="943634" w:themeColor="accent2" w:themeShade="BF"/>
          <w:sz w:val="20"/>
          <w:szCs w:val="20"/>
        </w:rPr>
        <w:t xml:space="preserve"> </w:t>
      </w:r>
      <w:r w:rsidRPr="00ED443D">
        <w:rPr>
          <w:sz w:val="20"/>
          <w:szCs w:val="20"/>
        </w:rPr>
        <w:t xml:space="preserve">“Novedades en la función notarial para recuperar la seguridad jurídica en los préstamos hipotecarios”: </w:t>
      </w:r>
      <w:r w:rsidRPr="00ED443D">
        <w:rPr>
          <w:i/>
          <w:sz w:val="20"/>
          <w:szCs w:val="20"/>
        </w:rPr>
        <w:t>El notario del siglo XXI: revista del Colegio Notarial de Madrid</w:t>
      </w:r>
      <w:r w:rsidRPr="00ED443D">
        <w:rPr>
          <w:sz w:val="20"/>
          <w:szCs w:val="20"/>
        </w:rPr>
        <w:t>, nº. 75, 2017, p. 16-19.</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Pérez Moriones</w:t>
      </w:r>
      <w:r w:rsidRPr="00ED443D">
        <w:rPr>
          <w:b/>
          <w:color w:val="943634" w:themeColor="accent2" w:themeShade="BF"/>
          <w:sz w:val="20"/>
          <w:szCs w:val="20"/>
        </w:rPr>
        <w:t>, Aránzazu.</w:t>
      </w:r>
      <w:r w:rsidR="00B37C86">
        <w:rPr>
          <w:b/>
          <w:color w:val="943634" w:themeColor="accent2" w:themeShade="BF"/>
          <w:sz w:val="20"/>
          <w:szCs w:val="20"/>
        </w:rPr>
        <w:t xml:space="preserve"> </w:t>
      </w:r>
      <w:r w:rsidRPr="00ED443D">
        <w:rPr>
          <w:sz w:val="20"/>
          <w:szCs w:val="20"/>
        </w:rPr>
        <w:t xml:space="preserve">“Mediación obligatoria previa al ejercicio de la acción judicial en litigios promovidos por consumidores: a propósito de la STJUE de 14 de junio de 2017 (Asunto C-75/16)”: </w:t>
      </w:r>
      <w:r w:rsidRPr="00ED443D">
        <w:rPr>
          <w:i/>
          <w:sz w:val="20"/>
          <w:szCs w:val="20"/>
        </w:rPr>
        <w:t>Diario La Ley</w:t>
      </w:r>
      <w:r w:rsidRPr="00ED443D">
        <w:rPr>
          <w:sz w:val="20"/>
          <w:szCs w:val="20"/>
        </w:rPr>
        <w:t>, nº 9076, 2017.</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Pertíñez Vílchez</w:t>
      </w:r>
      <w:r w:rsidRPr="00ED443D">
        <w:rPr>
          <w:b/>
          <w:color w:val="943634" w:themeColor="accent2" w:themeShade="BF"/>
          <w:sz w:val="20"/>
          <w:szCs w:val="20"/>
        </w:rPr>
        <w:t>, Francisco.</w:t>
      </w:r>
      <w:r w:rsidR="00B37C86">
        <w:rPr>
          <w:b/>
          <w:color w:val="943634" w:themeColor="accent2" w:themeShade="BF"/>
          <w:sz w:val="20"/>
          <w:szCs w:val="20"/>
        </w:rPr>
        <w:t xml:space="preserve"> </w:t>
      </w:r>
      <w:r w:rsidRPr="00ED443D">
        <w:rPr>
          <w:sz w:val="20"/>
          <w:szCs w:val="20"/>
        </w:rPr>
        <w:t xml:space="preserve">“Tribunal de Justicia de la Unión Europea - La incompatibilidad con la Directiva 93/13 de la limitación temporal de los efectos restitutorios vinculados a la declaración judicial del carácter abusivo de una cláusula contractual. Comentario de la sentencia de 21 diciembre 2016, Gutiérrez Naranjo”: </w:t>
      </w:r>
      <w:r w:rsidRPr="00ED443D">
        <w:rPr>
          <w:i/>
          <w:sz w:val="20"/>
          <w:szCs w:val="20"/>
        </w:rPr>
        <w:t>Revista de Derecho Comunitario Europeo</w:t>
      </w:r>
      <w:r w:rsidRPr="00ED443D">
        <w:rPr>
          <w:sz w:val="20"/>
          <w:szCs w:val="20"/>
        </w:rPr>
        <w:t>, Año nº 21, nº 57, 2017, pp. 671-688.</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lastRenderedPageBreak/>
        <w:t>Prats Albentosa</w:t>
      </w:r>
      <w:r w:rsidRPr="00ED443D">
        <w:rPr>
          <w:b/>
          <w:color w:val="943634" w:themeColor="accent2" w:themeShade="BF"/>
          <w:sz w:val="20"/>
          <w:szCs w:val="20"/>
        </w:rPr>
        <w:t>, Lorenzo.</w:t>
      </w:r>
      <w:r w:rsidR="00B37C86">
        <w:rPr>
          <w:b/>
          <w:color w:val="943634" w:themeColor="accent2" w:themeShade="BF"/>
          <w:sz w:val="20"/>
          <w:szCs w:val="20"/>
        </w:rPr>
        <w:t xml:space="preserve"> </w:t>
      </w:r>
      <w:r w:rsidRPr="00ED443D">
        <w:rPr>
          <w:sz w:val="20"/>
          <w:szCs w:val="20"/>
        </w:rPr>
        <w:t xml:space="preserve">“El notario y la tutela de los consumidores en el Mercado Único Digital Europeo”: </w:t>
      </w:r>
      <w:r w:rsidRPr="00ED443D">
        <w:rPr>
          <w:i/>
          <w:sz w:val="20"/>
          <w:szCs w:val="20"/>
        </w:rPr>
        <w:t>El notario del siglo XXI: revista del Colegio Notarial de Madrid</w:t>
      </w:r>
      <w:r w:rsidRPr="00ED443D">
        <w:rPr>
          <w:sz w:val="20"/>
          <w:szCs w:val="20"/>
        </w:rPr>
        <w:t>, nº. 75, 2017, pp. 56-61.</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Prol Pérez</w:t>
      </w:r>
      <w:r w:rsidRPr="00ED443D">
        <w:rPr>
          <w:b/>
          <w:color w:val="943634" w:themeColor="accent2" w:themeShade="BF"/>
          <w:sz w:val="20"/>
          <w:szCs w:val="20"/>
        </w:rPr>
        <w:t>, Francisco G.</w:t>
      </w:r>
      <w:r w:rsidR="00B37C86">
        <w:rPr>
          <w:b/>
          <w:color w:val="943634" w:themeColor="accent2" w:themeShade="BF"/>
          <w:sz w:val="20"/>
          <w:szCs w:val="20"/>
        </w:rPr>
        <w:t xml:space="preserve"> </w:t>
      </w:r>
      <w:r w:rsidRPr="00ED443D">
        <w:rPr>
          <w:sz w:val="20"/>
          <w:szCs w:val="20"/>
        </w:rPr>
        <w:t xml:space="preserve">“La validez de la cláusula arbitral en una operación de SWAP derivada de un contrato marco de operaciones financieras (CMOF): comentarios de urgencia sobre la sentencia del Tribunal Supremo 409/2017 de 27 de junio”: </w:t>
      </w:r>
      <w:r w:rsidRPr="00ED443D">
        <w:rPr>
          <w:i/>
          <w:sz w:val="20"/>
          <w:szCs w:val="20"/>
        </w:rPr>
        <w:t>Diario La Ley</w:t>
      </w:r>
      <w:r w:rsidRPr="00ED443D">
        <w:rPr>
          <w:sz w:val="20"/>
          <w:szCs w:val="20"/>
        </w:rPr>
        <w:t>, nº 9070, 2017.</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Quesada López</w:t>
      </w:r>
      <w:r w:rsidRPr="00ED443D">
        <w:rPr>
          <w:b/>
          <w:color w:val="943634" w:themeColor="accent2" w:themeShade="BF"/>
          <w:sz w:val="20"/>
          <w:szCs w:val="20"/>
        </w:rPr>
        <w:t>, Pedro Manuel.</w:t>
      </w:r>
      <w:r w:rsidR="00B37C86">
        <w:rPr>
          <w:b/>
          <w:color w:val="943634" w:themeColor="accent2" w:themeShade="BF"/>
          <w:sz w:val="20"/>
          <w:szCs w:val="20"/>
        </w:rPr>
        <w:t xml:space="preserve"> </w:t>
      </w:r>
      <w:r w:rsidRPr="00ED443D">
        <w:rPr>
          <w:sz w:val="20"/>
          <w:szCs w:val="20"/>
        </w:rPr>
        <w:t xml:space="preserve">“La intergración de los medios de solución autocompositivos en el procedimiento de ejecución hipotecaria: problemáticas desde la perspectiva procesal y propuesta de fase prerealizatoria” en </w:t>
      </w:r>
      <w:r w:rsidRPr="00ED443D">
        <w:rPr>
          <w:i/>
          <w:sz w:val="20"/>
          <w:szCs w:val="20"/>
        </w:rPr>
        <w:t>La mediación como método para la resolución de conflictos</w:t>
      </w:r>
      <w:r w:rsidRPr="00ED443D">
        <w:rPr>
          <w:sz w:val="20"/>
          <w:szCs w:val="20"/>
        </w:rPr>
        <w:t>. Dykinson: Universidad de Jaén, Vicerrectorado de Investigación2017, pp. 197-225.</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Redondo Trigo</w:t>
      </w:r>
      <w:r w:rsidRPr="00ED443D">
        <w:rPr>
          <w:b/>
          <w:color w:val="943634" w:themeColor="accent2" w:themeShade="BF"/>
          <w:sz w:val="20"/>
          <w:szCs w:val="20"/>
        </w:rPr>
        <w:t>, Francisco.</w:t>
      </w:r>
      <w:r w:rsidR="00B37C86">
        <w:rPr>
          <w:b/>
          <w:color w:val="943634" w:themeColor="accent2" w:themeShade="BF"/>
          <w:sz w:val="20"/>
          <w:szCs w:val="20"/>
        </w:rPr>
        <w:t xml:space="preserve"> </w:t>
      </w:r>
      <w:r w:rsidRPr="00ED443D">
        <w:rPr>
          <w:sz w:val="20"/>
          <w:szCs w:val="20"/>
        </w:rPr>
        <w:t xml:space="preserve">“El plazo de prescripción ante la nulidad de las cláusulas abusivas”: </w:t>
      </w:r>
      <w:r w:rsidRPr="00ED443D">
        <w:rPr>
          <w:i/>
          <w:sz w:val="20"/>
          <w:szCs w:val="20"/>
        </w:rPr>
        <w:t>Revista crítica de derecho inmobiliario</w:t>
      </w:r>
      <w:r w:rsidRPr="00ED443D">
        <w:rPr>
          <w:sz w:val="20"/>
          <w:szCs w:val="20"/>
        </w:rPr>
        <w:t>, Año nº 93, nº 763, 2017, pp. 2750-2767.</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Rivas Ruiz</w:t>
      </w:r>
      <w:r w:rsidRPr="00ED443D">
        <w:rPr>
          <w:b/>
          <w:color w:val="943634" w:themeColor="accent2" w:themeShade="BF"/>
          <w:sz w:val="20"/>
          <w:szCs w:val="20"/>
        </w:rPr>
        <w:t>, A.</w:t>
      </w:r>
      <w:r w:rsidRPr="00ED443D">
        <w:rPr>
          <w:sz w:val="20"/>
          <w:szCs w:val="20"/>
        </w:rPr>
        <w:t xml:space="preserve">“Reflexiones en torno a la ejecución de las pólizas paraguas”: </w:t>
      </w:r>
      <w:r w:rsidRPr="00ED443D">
        <w:rPr>
          <w:i/>
          <w:sz w:val="20"/>
          <w:szCs w:val="20"/>
        </w:rPr>
        <w:t>El notario del siglo XXI: revista del Colegio Notarial de Madrid</w:t>
      </w:r>
      <w:r w:rsidRPr="00ED443D">
        <w:rPr>
          <w:sz w:val="20"/>
          <w:szCs w:val="20"/>
        </w:rPr>
        <w:t>, nº. 75, 2017, pp. 42-47.</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Rodríguez López</w:t>
      </w:r>
      <w:r w:rsidRPr="00ED443D">
        <w:rPr>
          <w:b/>
          <w:color w:val="943634" w:themeColor="accent2" w:themeShade="BF"/>
          <w:sz w:val="20"/>
          <w:szCs w:val="20"/>
        </w:rPr>
        <w:t>, Gerardo Miguel.</w:t>
      </w:r>
      <w:r w:rsidR="00B37C86">
        <w:rPr>
          <w:b/>
          <w:color w:val="943634" w:themeColor="accent2" w:themeShade="BF"/>
          <w:sz w:val="20"/>
          <w:szCs w:val="20"/>
        </w:rPr>
        <w:t xml:space="preserve"> </w:t>
      </w:r>
      <w:r w:rsidRPr="00ED443D">
        <w:rPr>
          <w:sz w:val="20"/>
          <w:szCs w:val="20"/>
        </w:rPr>
        <w:t xml:space="preserve">“Breves notas sobre la protección civil de los compradores de vivienda por las cantidades ingresadas en entidades de crédito a cuenta del precio de la vivienda adquirida”: </w:t>
      </w:r>
      <w:r w:rsidRPr="00ED443D">
        <w:rPr>
          <w:i/>
          <w:sz w:val="20"/>
          <w:szCs w:val="20"/>
        </w:rPr>
        <w:t>Diario La Ley</w:t>
      </w:r>
      <w:r w:rsidRPr="00ED443D">
        <w:rPr>
          <w:sz w:val="20"/>
          <w:szCs w:val="20"/>
        </w:rPr>
        <w:t xml:space="preserve">, nº 9076, 2017. </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Romero</w:t>
      </w:r>
      <w:r w:rsidRPr="00ED443D">
        <w:rPr>
          <w:b/>
          <w:color w:val="943634" w:themeColor="accent2" w:themeShade="BF"/>
          <w:sz w:val="20"/>
          <w:szCs w:val="20"/>
        </w:rPr>
        <w:t>, Estel.</w:t>
      </w:r>
      <w:r w:rsidR="00B37C86">
        <w:rPr>
          <w:b/>
          <w:color w:val="943634" w:themeColor="accent2" w:themeShade="BF"/>
          <w:sz w:val="20"/>
          <w:szCs w:val="20"/>
        </w:rPr>
        <w:t xml:space="preserve"> </w:t>
      </w:r>
      <w:r w:rsidRPr="00ED443D">
        <w:rPr>
          <w:sz w:val="20"/>
          <w:szCs w:val="20"/>
        </w:rPr>
        <w:t xml:space="preserve">“La hipoteca multidivisa, en el punto de mira de la Justicia”: </w:t>
      </w:r>
      <w:r w:rsidRPr="00ED443D">
        <w:rPr>
          <w:i/>
          <w:sz w:val="20"/>
          <w:szCs w:val="20"/>
        </w:rPr>
        <w:t>Actualidad jurídica Aranzadi</w:t>
      </w:r>
      <w:r w:rsidRPr="00ED443D">
        <w:rPr>
          <w:sz w:val="20"/>
          <w:szCs w:val="20"/>
        </w:rPr>
        <w:t>, nº 934, 2017, p. 9.</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Sainz Rozas</w:t>
      </w:r>
      <w:r w:rsidRPr="00ED443D">
        <w:rPr>
          <w:b/>
          <w:color w:val="943634" w:themeColor="accent2" w:themeShade="BF"/>
          <w:sz w:val="20"/>
          <w:szCs w:val="20"/>
        </w:rPr>
        <w:t>, Fernanda.</w:t>
      </w:r>
      <w:r w:rsidR="00B37C86">
        <w:rPr>
          <w:b/>
          <w:color w:val="943634" w:themeColor="accent2" w:themeShade="BF"/>
          <w:sz w:val="20"/>
          <w:szCs w:val="20"/>
        </w:rPr>
        <w:t xml:space="preserve"> </w:t>
      </w:r>
      <w:r w:rsidRPr="00ED443D">
        <w:rPr>
          <w:sz w:val="20"/>
          <w:szCs w:val="20"/>
        </w:rPr>
        <w:t xml:space="preserve">“La cláusula de gastos en el derecho de la Unión Europea”: </w:t>
      </w:r>
      <w:r w:rsidRPr="00ED443D">
        <w:rPr>
          <w:i/>
          <w:sz w:val="20"/>
          <w:szCs w:val="20"/>
        </w:rPr>
        <w:t>Diario La Ley</w:t>
      </w:r>
      <w:r w:rsidRPr="00ED443D">
        <w:rPr>
          <w:sz w:val="20"/>
          <w:szCs w:val="20"/>
        </w:rPr>
        <w:t>, nº 9097, 2017.</w:t>
      </w:r>
    </w:p>
    <w:p w:rsidR="00ED443D" w:rsidRPr="00ED443D" w:rsidRDefault="00ED443D" w:rsidP="00ED443D">
      <w:pPr>
        <w:pStyle w:val="Prrafodelista"/>
        <w:jc w:val="both"/>
        <w:rPr>
          <w:sz w:val="20"/>
          <w:szCs w:val="20"/>
        </w:rPr>
      </w:pPr>
    </w:p>
    <w:p w:rsid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Sánchez Freyre</w:t>
      </w:r>
      <w:r w:rsidRPr="00ED443D">
        <w:rPr>
          <w:b/>
          <w:color w:val="943634" w:themeColor="accent2" w:themeShade="BF"/>
          <w:sz w:val="20"/>
          <w:szCs w:val="20"/>
        </w:rPr>
        <w:t>, José Manuel.</w:t>
      </w:r>
      <w:r w:rsidR="00B37C86">
        <w:rPr>
          <w:b/>
          <w:color w:val="943634" w:themeColor="accent2" w:themeShade="BF"/>
          <w:sz w:val="20"/>
          <w:szCs w:val="20"/>
        </w:rPr>
        <w:t xml:space="preserve"> </w:t>
      </w:r>
      <w:r w:rsidRPr="00ED443D">
        <w:rPr>
          <w:sz w:val="20"/>
          <w:szCs w:val="20"/>
        </w:rPr>
        <w:t xml:space="preserve">“La prueba de oficio y defensa de los consumidores: ¿quiebra del derecho a un juez imparcial?”: </w:t>
      </w:r>
      <w:r w:rsidRPr="00ED443D">
        <w:rPr>
          <w:i/>
          <w:sz w:val="20"/>
          <w:szCs w:val="20"/>
        </w:rPr>
        <w:t>Diario La Ley</w:t>
      </w:r>
      <w:r w:rsidRPr="00ED443D">
        <w:rPr>
          <w:sz w:val="20"/>
          <w:szCs w:val="20"/>
        </w:rPr>
        <w:t>, nº 9052, 2017.</w:t>
      </w:r>
    </w:p>
    <w:p w:rsidR="00A524A8" w:rsidRPr="00A524A8" w:rsidRDefault="00A524A8" w:rsidP="00A524A8">
      <w:pPr>
        <w:pStyle w:val="Prrafodelista"/>
        <w:rPr>
          <w:sz w:val="20"/>
          <w:szCs w:val="20"/>
        </w:rPr>
      </w:pPr>
    </w:p>
    <w:p w:rsidR="00A524A8" w:rsidRPr="00ED443D" w:rsidRDefault="00A524A8" w:rsidP="00ED443D">
      <w:pPr>
        <w:pStyle w:val="Prrafodelista"/>
        <w:numPr>
          <w:ilvl w:val="0"/>
          <w:numId w:val="5"/>
        </w:numPr>
        <w:jc w:val="both"/>
        <w:rPr>
          <w:sz w:val="20"/>
          <w:szCs w:val="20"/>
        </w:rPr>
      </w:pPr>
      <w:r w:rsidRPr="00A524A8">
        <w:rPr>
          <w:b/>
          <w:caps/>
          <w:color w:val="943634" w:themeColor="accent2" w:themeShade="BF"/>
          <w:sz w:val="20"/>
          <w:szCs w:val="20"/>
        </w:rPr>
        <w:t>Santos Urbaneja</w:t>
      </w:r>
      <w:r w:rsidRPr="00A524A8">
        <w:rPr>
          <w:b/>
          <w:color w:val="943634" w:themeColor="accent2" w:themeShade="BF"/>
          <w:sz w:val="20"/>
          <w:szCs w:val="20"/>
        </w:rPr>
        <w:t>, Fernando.</w:t>
      </w:r>
      <w:r>
        <w:rPr>
          <w:sz w:val="20"/>
          <w:szCs w:val="20"/>
        </w:rPr>
        <w:t xml:space="preserve"> “La ejecución de las acciones colectivas-masa. Comentario al Auto de la Sección Primera de la Audiencia Provincial de Córdoba de 22 de diciembre de 2014. Asunto Gas natural Andalucía”: </w:t>
      </w:r>
      <w:r w:rsidRPr="00A524A8">
        <w:rPr>
          <w:i/>
          <w:sz w:val="20"/>
          <w:szCs w:val="20"/>
        </w:rPr>
        <w:t>Revista del Ministerio Fiscal</w:t>
      </w:r>
      <w:r>
        <w:rPr>
          <w:sz w:val="20"/>
          <w:szCs w:val="20"/>
        </w:rPr>
        <w:t>, nº</w:t>
      </w:r>
      <w:r w:rsidRPr="00A524A8">
        <w:rPr>
          <w:sz w:val="20"/>
          <w:szCs w:val="20"/>
        </w:rPr>
        <w:t xml:space="preserve"> 4, (2017)</w:t>
      </w:r>
      <w:r>
        <w:rPr>
          <w:sz w:val="20"/>
          <w:szCs w:val="20"/>
        </w:rPr>
        <w:t>, pp. 32-40.</w:t>
      </w:r>
    </w:p>
    <w:p w:rsidR="00ED443D" w:rsidRPr="00ED443D" w:rsidRDefault="00ED443D" w:rsidP="00ED443D">
      <w:pPr>
        <w:pStyle w:val="Prrafodelista"/>
        <w:jc w:val="both"/>
        <w:rPr>
          <w:sz w:val="20"/>
          <w:szCs w:val="20"/>
        </w:rPr>
      </w:pPr>
    </w:p>
    <w:p w:rsidR="00ED443D" w:rsidRPr="00ED443D" w:rsidRDefault="00ED443D" w:rsidP="00ED443D">
      <w:pPr>
        <w:pStyle w:val="Prrafodelista"/>
        <w:numPr>
          <w:ilvl w:val="0"/>
          <w:numId w:val="5"/>
        </w:numPr>
        <w:jc w:val="both"/>
        <w:rPr>
          <w:sz w:val="20"/>
          <w:szCs w:val="20"/>
        </w:rPr>
      </w:pPr>
      <w:r w:rsidRPr="00ED443D">
        <w:rPr>
          <w:b/>
          <w:caps/>
          <w:color w:val="943634" w:themeColor="accent2" w:themeShade="BF"/>
          <w:sz w:val="20"/>
          <w:szCs w:val="20"/>
        </w:rPr>
        <w:t>Tolosa Villabona</w:t>
      </w:r>
      <w:r w:rsidRPr="00ED443D">
        <w:rPr>
          <w:b/>
          <w:color w:val="943634" w:themeColor="accent2" w:themeShade="BF"/>
          <w:sz w:val="20"/>
          <w:szCs w:val="20"/>
        </w:rPr>
        <w:t>, Luis Armando.</w:t>
      </w:r>
      <w:r w:rsidR="00B37C86">
        <w:rPr>
          <w:b/>
          <w:color w:val="943634" w:themeColor="accent2" w:themeShade="BF"/>
          <w:sz w:val="20"/>
          <w:szCs w:val="20"/>
        </w:rPr>
        <w:t xml:space="preserve"> </w:t>
      </w:r>
      <w:r w:rsidRPr="00ED443D">
        <w:rPr>
          <w:sz w:val="20"/>
          <w:szCs w:val="20"/>
        </w:rPr>
        <w:t xml:space="preserve">“De los principios del Derecho Obligacional y Contractual contemporáneo”: </w:t>
      </w:r>
      <w:r w:rsidRPr="00ED443D">
        <w:rPr>
          <w:i/>
          <w:sz w:val="20"/>
          <w:szCs w:val="20"/>
        </w:rPr>
        <w:t>Revista Estudios Socio-Jurídicos</w:t>
      </w:r>
      <w:r w:rsidRPr="00ED443D">
        <w:rPr>
          <w:sz w:val="20"/>
          <w:szCs w:val="20"/>
        </w:rPr>
        <w:t>, vol. 19, nº. 2, 2017, pp. 13-61.</w:t>
      </w:r>
    </w:p>
    <w:p w:rsidR="00935713" w:rsidRPr="002815DC" w:rsidRDefault="00935713" w:rsidP="002815DC">
      <w:pPr>
        <w:pStyle w:val="Prrafodelista"/>
        <w:jc w:val="both"/>
        <w:rPr>
          <w:rFonts w:cstheme="minorHAnsi"/>
          <w:sz w:val="20"/>
          <w:szCs w:val="20"/>
        </w:rPr>
      </w:pPr>
    </w:p>
    <w:sectPr w:rsidR="00935713" w:rsidRPr="002815DC" w:rsidSect="0014507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D50" w:rsidRDefault="00016D50" w:rsidP="004A162C">
      <w:pPr>
        <w:spacing w:after="0" w:line="240" w:lineRule="auto"/>
      </w:pPr>
      <w:r>
        <w:separator/>
      </w:r>
    </w:p>
  </w:endnote>
  <w:endnote w:type="continuationSeparator" w:id="1">
    <w:p w:rsidR="00016D50" w:rsidRDefault="00016D50" w:rsidP="004A1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D50" w:rsidRDefault="00016D50" w:rsidP="004A162C">
      <w:pPr>
        <w:spacing w:after="0" w:line="240" w:lineRule="auto"/>
      </w:pPr>
      <w:r>
        <w:separator/>
      </w:r>
    </w:p>
  </w:footnote>
  <w:footnote w:type="continuationSeparator" w:id="1">
    <w:p w:rsidR="00016D50" w:rsidRDefault="00016D50" w:rsidP="004A16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754_"/>
      </v:shape>
    </w:pict>
  </w:numPicBullet>
  <w:numPicBullet w:numPicBulletId="1">
    <w:pict>
      <v:shape id="_x0000_i1029" type="#_x0000_t75" style="width:9pt;height:9pt" o:bullet="t">
        <v:imagedata r:id="rId2" o:title="j0115836"/>
      </v:shape>
    </w:pict>
  </w:numPicBullet>
  <w:abstractNum w:abstractNumId="0">
    <w:nsid w:val="051F3332"/>
    <w:multiLevelType w:val="hybridMultilevel"/>
    <w:tmpl w:val="6EE4A646"/>
    <w:lvl w:ilvl="0" w:tplc="45FE9F5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9156B7"/>
    <w:multiLevelType w:val="hybridMultilevel"/>
    <w:tmpl w:val="F04299D2"/>
    <w:lvl w:ilvl="0" w:tplc="A57042B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52AA1C43"/>
    <w:multiLevelType w:val="hybridMultilevel"/>
    <w:tmpl w:val="DC8EBC86"/>
    <w:lvl w:ilvl="0" w:tplc="A57042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1887445"/>
    <w:multiLevelType w:val="hybridMultilevel"/>
    <w:tmpl w:val="AC3ABB3E"/>
    <w:lvl w:ilvl="0" w:tplc="A57042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B2B6CA7"/>
    <w:multiLevelType w:val="hybridMultilevel"/>
    <w:tmpl w:val="20105652"/>
    <w:lvl w:ilvl="0" w:tplc="45FE9F5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323C7"/>
    <w:rsid w:val="00000A48"/>
    <w:rsid w:val="00016D50"/>
    <w:rsid w:val="000255E4"/>
    <w:rsid w:val="00027D4B"/>
    <w:rsid w:val="0003060E"/>
    <w:rsid w:val="00042C59"/>
    <w:rsid w:val="00046389"/>
    <w:rsid w:val="00051F55"/>
    <w:rsid w:val="00066E5F"/>
    <w:rsid w:val="0007247B"/>
    <w:rsid w:val="000A145A"/>
    <w:rsid w:val="000A22E8"/>
    <w:rsid w:val="000B6178"/>
    <w:rsid w:val="000C2EFE"/>
    <w:rsid w:val="000D050F"/>
    <w:rsid w:val="000D151A"/>
    <w:rsid w:val="000D1574"/>
    <w:rsid w:val="000D5591"/>
    <w:rsid w:val="000E3F98"/>
    <w:rsid w:val="000F1C33"/>
    <w:rsid w:val="000F6CA0"/>
    <w:rsid w:val="00106B95"/>
    <w:rsid w:val="00110DED"/>
    <w:rsid w:val="0011109E"/>
    <w:rsid w:val="0014507C"/>
    <w:rsid w:val="0014612B"/>
    <w:rsid w:val="001647EA"/>
    <w:rsid w:val="00170205"/>
    <w:rsid w:val="00185F90"/>
    <w:rsid w:val="001944C9"/>
    <w:rsid w:val="001B17BF"/>
    <w:rsid w:val="001B534E"/>
    <w:rsid w:val="001C7512"/>
    <w:rsid w:val="001E20A7"/>
    <w:rsid w:val="001F7A69"/>
    <w:rsid w:val="00213758"/>
    <w:rsid w:val="002213E7"/>
    <w:rsid w:val="00243118"/>
    <w:rsid w:val="002558D5"/>
    <w:rsid w:val="00265ABA"/>
    <w:rsid w:val="002815DC"/>
    <w:rsid w:val="0028543A"/>
    <w:rsid w:val="00290F93"/>
    <w:rsid w:val="00291810"/>
    <w:rsid w:val="00293EDB"/>
    <w:rsid w:val="002A79B1"/>
    <w:rsid w:val="002B531A"/>
    <w:rsid w:val="002C40F5"/>
    <w:rsid w:val="002C4871"/>
    <w:rsid w:val="002D3E0A"/>
    <w:rsid w:val="002F5EE8"/>
    <w:rsid w:val="00300D78"/>
    <w:rsid w:val="00301B5C"/>
    <w:rsid w:val="00311939"/>
    <w:rsid w:val="0033136E"/>
    <w:rsid w:val="00331B61"/>
    <w:rsid w:val="003367B9"/>
    <w:rsid w:val="00341554"/>
    <w:rsid w:val="003514CA"/>
    <w:rsid w:val="00351A2A"/>
    <w:rsid w:val="00367218"/>
    <w:rsid w:val="003728A5"/>
    <w:rsid w:val="00373CC4"/>
    <w:rsid w:val="003843FA"/>
    <w:rsid w:val="00386FB4"/>
    <w:rsid w:val="00394598"/>
    <w:rsid w:val="00395459"/>
    <w:rsid w:val="003C32BA"/>
    <w:rsid w:val="003D26D9"/>
    <w:rsid w:val="003D349A"/>
    <w:rsid w:val="00402FCD"/>
    <w:rsid w:val="00407410"/>
    <w:rsid w:val="0044236A"/>
    <w:rsid w:val="00443B00"/>
    <w:rsid w:val="00453990"/>
    <w:rsid w:val="004540C8"/>
    <w:rsid w:val="00456986"/>
    <w:rsid w:val="00474316"/>
    <w:rsid w:val="00496F72"/>
    <w:rsid w:val="004A0DA8"/>
    <w:rsid w:val="004A162C"/>
    <w:rsid w:val="004A56D3"/>
    <w:rsid w:val="004A6A81"/>
    <w:rsid w:val="004C0D9A"/>
    <w:rsid w:val="004C2016"/>
    <w:rsid w:val="00516353"/>
    <w:rsid w:val="00536EF0"/>
    <w:rsid w:val="00537D3F"/>
    <w:rsid w:val="00575986"/>
    <w:rsid w:val="00597BE3"/>
    <w:rsid w:val="005A7BE7"/>
    <w:rsid w:val="005B282D"/>
    <w:rsid w:val="005B33CF"/>
    <w:rsid w:val="005B6DB1"/>
    <w:rsid w:val="005C27B7"/>
    <w:rsid w:val="005E6F6C"/>
    <w:rsid w:val="00605FC7"/>
    <w:rsid w:val="00640E5A"/>
    <w:rsid w:val="006475C7"/>
    <w:rsid w:val="006558FA"/>
    <w:rsid w:val="006712B3"/>
    <w:rsid w:val="00693D76"/>
    <w:rsid w:val="006A3F6E"/>
    <w:rsid w:val="006A5A50"/>
    <w:rsid w:val="006E3196"/>
    <w:rsid w:val="006F141B"/>
    <w:rsid w:val="006F2AB2"/>
    <w:rsid w:val="00702993"/>
    <w:rsid w:val="00722F18"/>
    <w:rsid w:val="007230EB"/>
    <w:rsid w:val="00724E07"/>
    <w:rsid w:val="0073013B"/>
    <w:rsid w:val="00736ED7"/>
    <w:rsid w:val="00747C4B"/>
    <w:rsid w:val="00755162"/>
    <w:rsid w:val="00766276"/>
    <w:rsid w:val="00780804"/>
    <w:rsid w:val="007A12C3"/>
    <w:rsid w:val="007A2381"/>
    <w:rsid w:val="007B3834"/>
    <w:rsid w:val="008074A6"/>
    <w:rsid w:val="00820C02"/>
    <w:rsid w:val="00832A15"/>
    <w:rsid w:val="00832D86"/>
    <w:rsid w:val="00854648"/>
    <w:rsid w:val="00874980"/>
    <w:rsid w:val="00884CC9"/>
    <w:rsid w:val="00885E19"/>
    <w:rsid w:val="0089217A"/>
    <w:rsid w:val="00896EFC"/>
    <w:rsid w:val="008B028D"/>
    <w:rsid w:val="008C33B7"/>
    <w:rsid w:val="00900645"/>
    <w:rsid w:val="00902528"/>
    <w:rsid w:val="00921D82"/>
    <w:rsid w:val="00934541"/>
    <w:rsid w:val="00935713"/>
    <w:rsid w:val="009517A0"/>
    <w:rsid w:val="00972D71"/>
    <w:rsid w:val="009C0AEB"/>
    <w:rsid w:val="009C1D33"/>
    <w:rsid w:val="009C7FB3"/>
    <w:rsid w:val="009D016B"/>
    <w:rsid w:val="009D164B"/>
    <w:rsid w:val="009E42A3"/>
    <w:rsid w:val="009E6429"/>
    <w:rsid w:val="009F6644"/>
    <w:rsid w:val="00A21910"/>
    <w:rsid w:val="00A3575B"/>
    <w:rsid w:val="00A524A8"/>
    <w:rsid w:val="00A52C4C"/>
    <w:rsid w:val="00A608EE"/>
    <w:rsid w:val="00A60D58"/>
    <w:rsid w:val="00A6748F"/>
    <w:rsid w:val="00A86DF9"/>
    <w:rsid w:val="00A87AA5"/>
    <w:rsid w:val="00AA0288"/>
    <w:rsid w:val="00AA7962"/>
    <w:rsid w:val="00AB5575"/>
    <w:rsid w:val="00AD38F6"/>
    <w:rsid w:val="00AD3E28"/>
    <w:rsid w:val="00AE6BAA"/>
    <w:rsid w:val="00B026AC"/>
    <w:rsid w:val="00B23BAE"/>
    <w:rsid w:val="00B323C7"/>
    <w:rsid w:val="00B34887"/>
    <w:rsid w:val="00B37C86"/>
    <w:rsid w:val="00B50421"/>
    <w:rsid w:val="00B5171D"/>
    <w:rsid w:val="00B51E90"/>
    <w:rsid w:val="00B70155"/>
    <w:rsid w:val="00B73732"/>
    <w:rsid w:val="00B939B6"/>
    <w:rsid w:val="00BA1642"/>
    <w:rsid w:val="00BA5EDA"/>
    <w:rsid w:val="00BC7AA0"/>
    <w:rsid w:val="00BD544B"/>
    <w:rsid w:val="00BE0969"/>
    <w:rsid w:val="00BE68B1"/>
    <w:rsid w:val="00C01767"/>
    <w:rsid w:val="00C108E1"/>
    <w:rsid w:val="00C34FB1"/>
    <w:rsid w:val="00C5598A"/>
    <w:rsid w:val="00C67E16"/>
    <w:rsid w:val="00C70365"/>
    <w:rsid w:val="00C97DFB"/>
    <w:rsid w:val="00CA047D"/>
    <w:rsid w:val="00CA78F5"/>
    <w:rsid w:val="00CB2CE5"/>
    <w:rsid w:val="00CD7B61"/>
    <w:rsid w:val="00CE4062"/>
    <w:rsid w:val="00CF5D9A"/>
    <w:rsid w:val="00D1076A"/>
    <w:rsid w:val="00D13813"/>
    <w:rsid w:val="00D15BF4"/>
    <w:rsid w:val="00D20ACA"/>
    <w:rsid w:val="00D3144A"/>
    <w:rsid w:val="00D35C8F"/>
    <w:rsid w:val="00D622B2"/>
    <w:rsid w:val="00D739C4"/>
    <w:rsid w:val="00D75B5E"/>
    <w:rsid w:val="00D765EB"/>
    <w:rsid w:val="00D76EC1"/>
    <w:rsid w:val="00D844AC"/>
    <w:rsid w:val="00DA0D16"/>
    <w:rsid w:val="00DA5807"/>
    <w:rsid w:val="00DC03AE"/>
    <w:rsid w:val="00DC5787"/>
    <w:rsid w:val="00DC64EF"/>
    <w:rsid w:val="00DE0371"/>
    <w:rsid w:val="00DF2763"/>
    <w:rsid w:val="00E00171"/>
    <w:rsid w:val="00E25FCD"/>
    <w:rsid w:val="00E35C8F"/>
    <w:rsid w:val="00E3676A"/>
    <w:rsid w:val="00E43A5D"/>
    <w:rsid w:val="00E43B0C"/>
    <w:rsid w:val="00E55619"/>
    <w:rsid w:val="00E60217"/>
    <w:rsid w:val="00E75CB5"/>
    <w:rsid w:val="00E902EF"/>
    <w:rsid w:val="00E90DEF"/>
    <w:rsid w:val="00EA162F"/>
    <w:rsid w:val="00EA1FA8"/>
    <w:rsid w:val="00EA49D6"/>
    <w:rsid w:val="00EA6511"/>
    <w:rsid w:val="00ED0732"/>
    <w:rsid w:val="00ED1A59"/>
    <w:rsid w:val="00ED3D05"/>
    <w:rsid w:val="00ED443D"/>
    <w:rsid w:val="00EE0FC3"/>
    <w:rsid w:val="00EE1334"/>
    <w:rsid w:val="00EF2581"/>
    <w:rsid w:val="00F32AF1"/>
    <w:rsid w:val="00F33F0F"/>
    <w:rsid w:val="00F405B5"/>
    <w:rsid w:val="00F51A13"/>
    <w:rsid w:val="00F54DAD"/>
    <w:rsid w:val="00F56AB2"/>
    <w:rsid w:val="00F60569"/>
    <w:rsid w:val="00F714BA"/>
    <w:rsid w:val="00F8180A"/>
    <w:rsid w:val="00FA6247"/>
    <w:rsid w:val="00FC0FCC"/>
    <w:rsid w:val="00FD65AE"/>
    <w:rsid w:val="00FF09C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71D"/>
    <w:rPr>
      <w:lang w:val="es-ES_tradnl"/>
    </w:rPr>
  </w:style>
  <w:style w:type="paragraph" w:styleId="Ttulo2">
    <w:name w:val="heading 2"/>
    <w:basedOn w:val="Normal"/>
    <w:link w:val="Ttulo2Car"/>
    <w:uiPriority w:val="9"/>
    <w:qFormat/>
    <w:rsid w:val="00F54DAD"/>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30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0EB"/>
    <w:rPr>
      <w:rFonts w:ascii="Tahoma" w:hAnsi="Tahoma" w:cs="Tahoma"/>
      <w:sz w:val="16"/>
      <w:szCs w:val="16"/>
      <w:lang w:val="es-ES_tradnl"/>
    </w:rPr>
  </w:style>
  <w:style w:type="paragraph" w:styleId="Prrafodelista">
    <w:name w:val="List Paragraph"/>
    <w:basedOn w:val="Normal"/>
    <w:uiPriority w:val="34"/>
    <w:qFormat/>
    <w:rsid w:val="000255E4"/>
    <w:pPr>
      <w:ind w:left="720"/>
      <w:contextualSpacing/>
    </w:pPr>
  </w:style>
  <w:style w:type="paragraph" w:styleId="Encabezado">
    <w:name w:val="header"/>
    <w:basedOn w:val="Normal"/>
    <w:link w:val="EncabezadoCar"/>
    <w:uiPriority w:val="99"/>
    <w:unhideWhenUsed/>
    <w:rsid w:val="004A16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62C"/>
    <w:rPr>
      <w:lang w:val="es-ES_tradnl"/>
    </w:rPr>
  </w:style>
  <w:style w:type="paragraph" w:styleId="Piedepgina">
    <w:name w:val="footer"/>
    <w:basedOn w:val="Normal"/>
    <w:link w:val="PiedepginaCar"/>
    <w:uiPriority w:val="99"/>
    <w:unhideWhenUsed/>
    <w:rsid w:val="004A16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62C"/>
    <w:rPr>
      <w:lang w:val="es-ES_tradnl"/>
    </w:rPr>
  </w:style>
  <w:style w:type="character" w:customStyle="1" w:styleId="Ttulo2Car">
    <w:name w:val="Título 2 Car"/>
    <w:basedOn w:val="Fuentedeprrafopredeter"/>
    <w:link w:val="Ttulo2"/>
    <w:uiPriority w:val="9"/>
    <w:rsid w:val="00F54DAD"/>
    <w:rPr>
      <w:rFonts w:ascii="Times New Roman" w:eastAsia="Times New Roman" w:hAnsi="Times New Roman" w:cs="Times New Roman"/>
      <w:b/>
      <w:bCs/>
      <w:sz w:val="36"/>
      <w:szCs w:val="36"/>
      <w:lang w:eastAsia="es-ES"/>
    </w:rPr>
  </w:style>
  <w:style w:type="character" w:customStyle="1" w:styleId="titulo">
    <w:name w:val="titulo"/>
    <w:basedOn w:val="Fuentedeprrafopredeter"/>
    <w:rsid w:val="00F54DAD"/>
  </w:style>
  <w:style w:type="character" w:styleId="Hipervnculo">
    <w:name w:val="Hyperlink"/>
    <w:basedOn w:val="Fuentedeprrafopredeter"/>
    <w:uiPriority w:val="99"/>
    <w:semiHidden/>
    <w:unhideWhenUsed/>
    <w:rsid w:val="00F54DAD"/>
    <w:rPr>
      <w:color w:val="0000FF"/>
      <w:u w:val="single"/>
    </w:rPr>
  </w:style>
  <w:style w:type="character" w:customStyle="1" w:styleId="apple-converted-space">
    <w:name w:val="apple-converted-space"/>
    <w:basedOn w:val="Fuentedeprrafopredeter"/>
    <w:rsid w:val="00F54DAD"/>
  </w:style>
  <w:style w:type="character" w:styleId="AcrnimoHTML">
    <w:name w:val="HTML Acronym"/>
    <w:basedOn w:val="Fuentedeprrafopredeter"/>
    <w:uiPriority w:val="99"/>
    <w:semiHidden/>
    <w:unhideWhenUsed/>
    <w:rsid w:val="00F54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2">
    <w:name w:val="heading 2"/>
    <w:basedOn w:val="Normal"/>
    <w:link w:val="Ttulo2Car"/>
    <w:uiPriority w:val="9"/>
    <w:qFormat/>
    <w:rsid w:val="00F54DAD"/>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30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0EB"/>
    <w:rPr>
      <w:rFonts w:ascii="Tahoma" w:hAnsi="Tahoma" w:cs="Tahoma"/>
      <w:sz w:val="16"/>
      <w:szCs w:val="16"/>
      <w:lang w:val="es-ES_tradnl"/>
    </w:rPr>
  </w:style>
  <w:style w:type="paragraph" w:styleId="Prrafodelista">
    <w:name w:val="List Paragraph"/>
    <w:basedOn w:val="Normal"/>
    <w:uiPriority w:val="34"/>
    <w:qFormat/>
    <w:rsid w:val="000255E4"/>
    <w:pPr>
      <w:ind w:left="720"/>
      <w:contextualSpacing/>
    </w:pPr>
  </w:style>
  <w:style w:type="paragraph" w:styleId="Encabezado">
    <w:name w:val="header"/>
    <w:basedOn w:val="Normal"/>
    <w:link w:val="EncabezadoCar"/>
    <w:uiPriority w:val="99"/>
    <w:unhideWhenUsed/>
    <w:rsid w:val="004A16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62C"/>
    <w:rPr>
      <w:lang w:val="es-ES_tradnl"/>
    </w:rPr>
  </w:style>
  <w:style w:type="paragraph" w:styleId="Piedepgina">
    <w:name w:val="footer"/>
    <w:basedOn w:val="Normal"/>
    <w:link w:val="PiedepginaCar"/>
    <w:uiPriority w:val="99"/>
    <w:unhideWhenUsed/>
    <w:rsid w:val="004A16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62C"/>
    <w:rPr>
      <w:lang w:val="es-ES_tradnl"/>
    </w:rPr>
  </w:style>
  <w:style w:type="character" w:customStyle="1" w:styleId="Ttulo2Car">
    <w:name w:val="Título 2 Car"/>
    <w:basedOn w:val="Fuentedeprrafopredeter"/>
    <w:link w:val="Ttulo2"/>
    <w:uiPriority w:val="9"/>
    <w:rsid w:val="00F54DAD"/>
    <w:rPr>
      <w:rFonts w:ascii="Times New Roman" w:eastAsia="Times New Roman" w:hAnsi="Times New Roman" w:cs="Times New Roman"/>
      <w:b/>
      <w:bCs/>
      <w:sz w:val="36"/>
      <w:szCs w:val="36"/>
      <w:lang w:eastAsia="es-ES"/>
    </w:rPr>
  </w:style>
  <w:style w:type="character" w:customStyle="1" w:styleId="titulo">
    <w:name w:val="titulo"/>
    <w:basedOn w:val="Fuentedeprrafopredeter"/>
    <w:rsid w:val="00F54DAD"/>
  </w:style>
  <w:style w:type="character" w:styleId="Hipervnculo">
    <w:name w:val="Hyperlink"/>
    <w:basedOn w:val="Fuentedeprrafopredeter"/>
    <w:uiPriority w:val="99"/>
    <w:semiHidden/>
    <w:unhideWhenUsed/>
    <w:rsid w:val="00F54DAD"/>
    <w:rPr>
      <w:color w:val="0000FF"/>
      <w:u w:val="single"/>
    </w:rPr>
  </w:style>
  <w:style w:type="character" w:customStyle="1" w:styleId="apple-converted-space">
    <w:name w:val="apple-converted-space"/>
    <w:basedOn w:val="Fuentedeprrafopredeter"/>
    <w:rsid w:val="00F54DAD"/>
  </w:style>
  <w:style w:type="character" w:styleId="AcrnimoHTML">
    <w:name w:val="HTML Acronym"/>
    <w:basedOn w:val="Fuentedeprrafopredeter"/>
    <w:uiPriority w:val="99"/>
    <w:semiHidden/>
    <w:unhideWhenUsed/>
    <w:rsid w:val="00F54DAD"/>
  </w:style>
</w:styles>
</file>

<file path=word/webSettings.xml><?xml version="1.0" encoding="utf-8"?>
<w:webSettings xmlns:r="http://schemas.openxmlformats.org/officeDocument/2006/relationships" xmlns:w="http://schemas.openxmlformats.org/wordprocessingml/2006/main">
  <w:divs>
    <w:div w:id="383603565">
      <w:bodyDiv w:val="1"/>
      <w:marLeft w:val="0"/>
      <w:marRight w:val="0"/>
      <w:marTop w:val="0"/>
      <w:marBottom w:val="0"/>
      <w:divBdr>
        <w:top w:val="none" w:sz="0" w:space="0" w:color="auto"/>
        <w:left w:val="none" w:sz="0" w:space="0" w:color="auto"/>
        <w:bottom w:val="none" w:sz="0" w:space="0" w:color="auto"/>
        <w:right w:val="none" w:sz="0" w:space="0" w:color="auto"/>
      </w:divBdr>
    </w:div>
    <w:div w:id="573704284">
      <w:bodyDiv w:val="1"/>
      <w:marLeft w:val="0"/>
      <w:marRight w:val="0"/>
      <w:marTop w:val="0"/>
      <w:marBottom w:val="0"/>
      <w:divBdr>
        <w:top w:val="none" w:sz="0" w:space="0" w:color="auto"/>
        <w:left w:val="none" w:sz="0" w:space="0" w:color="auto"/>
        <w:bottom w:val="none" w:sz="0" w:space="0" w:color="auto"/>
        <w:right w:val="none" w:sz="0" w:space="0" w:color="auto"/>
      </w:divBdr>
    </w:div>
    <w:div w:id="794982848">
      <w:bodyDiv w:val="1"/>
      <w:marLeft w:val="0"/>
      <w:marRight w:val="0"/>
      <w:marTop w:val="0"/>
      <w:marBottom w:val="0"/>
      <w:divBdr>
        <w:top w:val="none" w:sz="0" w:space="0" w:color="auto"/>
        <w:left w:val="none" w:sz="0" w:space="0" w:color="auto"/>
        <w:bottom w:val="none" w:sz="0" w:space="0" w:color="auto"/>
        <w:right w:val="none" w:sz="0" w:space="0" w:color="auto"/>
      </w:divBdr>
    </w:div>
    <w:div w:id="868568549">
      <w:bodyDiv w:val="1"/>
      <w:marLeft w:val="0"/>
      <w:marRight w:val="0"/>
      <w:marTop w:val="0"/>
      <w:marBottom w:val="0"/>
      <w:divBdr>
        <w:top w:val="none" w:sz="0" w:space="0" w:color="auto"/>
        <w:left w:val="none" w:sz="0" w:space="0" w:color="auto"/>
        <w:bottom w:val="none" w:sz="0" w:space="0" w:color="auto"/>
        <w:right w:val="none" w:sz="0" w:space="0" w:color="auto"/>
      </w:divBdr>
    </w:div>
    <w:div w:id="878933168">
      <w:bodyDiv w:val="1"/>
      <w:marLeft w:val="0"/>
      <w:marRight w:val="0"/>
      <w:marTop w:val="0"/>
      <w:marBottom w:val="0"/>
      <w:divBdr>
        <w:top w:val="none" w:sz="0" w:space="0" w:color="auto"/>
        <w:left w:val="none" w:sz="0" w:space="0" w:color="auto"/>
        <w:bottom w:val="none" w:sz="0" w:space="0" w:color="auto"/>
        <w:right w:val="none" w:sz="0" w:space="0" w:color="auto"/>
      </w:divBdr>
    </w:div>
    <w:div w:id="12881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84773-401E-4CE1-95AA-EC21CD04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1957</Words>
  <Characters>10768</Characters>
  <Application>Microsoft Office Word</Application>
  <DocSecurity>0</DocSecurity>
  <Lines>89</Lines>
  <Paragraphs>25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dc:creator>
  <cp:lastModifiedBy>Usuario de Windows</cp:lastModifiedBy>
  <cp:revision>10</cp:revision>
  <cp:lastPrinted>2018-01-01T12:48:00Z</cp:lastPrinted>
  <dcterms:created xsi:type="dcterms:W3CDTF">2018-01-01T12:48:00Z</dcterms:created>
  <dcterms:modified xsi:type="dcterms:W3CDTF">2018-01-03T12:06:00Z</dcterms:modified>
</cp:coreProperties>
</file>