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57C95AAA" w:rsidR="00827C04" w:rsidRDefault="00FD1E51">
                            <w:pPr>
                              <w:rPr>
                                <w:rFonts w:ascii="Segoe UI" w:hAnsi="Segoe UI" w:cs="Segoe UI"/>
                                <w:b/>
                                <w:color w:val="FFFFFF" w:themeColor="background1"/>
                                <w:sz w:val="36"/>
                                <w:szCs w:val="36"/>
                              </w:rPr>
                            </w:pPr>
                            <w:r>
                              <w:rPr>
                                <w:rFonts w:ascii="Segoe UI" w:hAnsi="Segoe UI" w:cs="Segoe UI"/>
                                <w:b/>
                                <w:color w:val="FFFFFF" w:themeColor="background1"/>
                                <w:sz w:val="36"/>
                                <w:szCs w:val="36"/>
                              </w:rPr>
                              <w:t>Octubre-Diciembre</w:t>
                            </w:r>
                            <w:r w:rsidR="00567AAA">
                              <w:rPr>
                                <w:rFonts w:ascii="Segoe UI" w:hAnsi="Segoe UI" w:cs="Segoe UI"/>
                                <w:b/>
                                <w:color w:val="FFFFFF" w:themeColor="background1"/>
                                <w:sz w:val="36"/>
                                <w:szCs w:val="36"/>
                              </w:rPr>
                              <w:t xml:space="preserve"> 2022</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3B2CAF3F"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 Contratado</w:t>
                            </w:r>
                            <w:r w:rsidR="00827C04" w:rsidRPr="00EE05FD">
                              <w:rPr>
                                <w:rFonts w:ascii="Segoe UI" w:hAnsi="Segoe UI" w:cs="Segoe UI"/>
                                <w:sz w:val="20"/>
                                <w:szCs w:val="20"/>
                              </w:rPr>
                              <w:t xml:space="preserv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" filled="f" stroked="f" strokeweight=".5pt">
                <v:textbox>
                  <w:txbxContent>
                    <w:p w14:paraId="4D436CF4" w14:textId="57C95AAA" w:rsidR="00827C04" w:rsidRDefault="00FD1E51">
                      <w:pPr>
                        <w:rPr>
                          <w:rFonts w:ascii="Segoe UI" w:hAnsi="Segoe UI" w:cs="Segoe UI"/>
                          <w:b/>
                          <w:color w:val="FFFFFF" w:themeColor="background1"/>
                          <w:sz w:val="36"/>
                          <w:szCs w:val="36"/>
                        </w:rPr>
                      </w:pPr>
                      <w:r>
                        <w:rPr>
                          <w:rFonts w:ascii="Segoe UI" w:hAnsi="Segoe UI" w:cs="Segoe UI"/>
                          <w:b/>
                          <w:color w:val="FFFFFF" w:themeColor="background1"/>
                          <w:sz w:val="36"/>
                          <w:szCs w:val="36"/>
                        </w:rPr>
                        <w:t>Octubre-Diciembre</w:t>
                      </w:r>
                      <w:r w:rsidR="00567AAA">
                        <w:rPr>
                          <w:rFonts w:ascii="Segoe UI" w:hAnsi="Segoe UI" w:cs="Segoe UI"/>
                          <w:b/>
                          <w:color w:val="FFFFFF" w:themeColor="background1"/>
                          <w:sz w:val="36"/>
                          <w:szCs w:val="36"/>
                        </w:rPr>
                        <w:t xml:space="preserve"> 2022</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3B2CAF3F"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 Contratado</w:t>
                      </w:r>
                      <w:r w:rsidR="00827C04" w:rsidRPr="00EE05FD">
                        <w:rPr>
                          <w:rFonts w:ascii="Segoe UI" w:hAnsi="Segoe UI" w:cs="Segoe UI"/>
                          <w:sz w:val="20"/>
                          <w:szCs w:val="20"/>
                        </w:rPr>
                        <w:t xml:space="preserv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33C4F342">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69F4B5F5" w:rsidR="00827C04" w:rsidRDefault="00FD1E51" w:rsidP="00567AAA">
                            <w:pPr>
                              <w:jc w:val="center"/>
                            </w:pPr>
                            <w:r>
                              <w:rPr>
                                <w:rFonts w:cstheme="minorHAnsi"/>
                                <w:b/>
                                <w:color w:val="FFFFFF" w:themeColor="background1"/>
                                <w:sz w:val="20"/>
                                <w:szCs w:val="20"/>
                              </w:rPr>
                              <w:t>Octubre-Diciembre</w:t>
                            </w:r>
                            <w:r w:rsidR="00567AAA">
                              <w:rPr>
                                <w:rFonts w:cstheme="minorHAnsi"/>
                                <w:b/>
                                <w:color w:val="FFFFFF" w:themeColor="background1"/>
                                <w:sz w:val="20"/>
                                <w:szCs w:val="20"/>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495B1"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69F4B5F5" w:rsidR="00827C04" w:rsidRDefault="00FD1E51" w:rsidP="00567AAA">
                      <w:pPr>
                        <w:jc w:val="center"/>
                      </w:pPr>
                      <w:r>
                        <w:rPr>
                          <w:rFonts w:cstheme="minorHAnsi"/>
                          <w:b/>
                          <w:color w:val="FFFFFF" w:themeColor="background1"/>
                          <w:sz w:val="20"/>
                          <w:szCs w:val="20"/>
                        </w:rPr>
                        <w:t>Octubre-Diciembre</w:t>
                      </w:r>
                      <w:r w:rsidR="00567AAA">
                        <w:rPr>
                          <w:rFonts w:cstheme="minorHAnsi"/>
                          <w:b/>
                          <w:color w:val="FFFFFF" w:themeColor="background1"/>
                          <w:sz w:val="20"/>
                          <w:szCs w:val="20"/>
                        </w:rPr>
                        <w:t xml:space="preserve"> 2022</w:t>
                      </w:r>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1AFD"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0781AEA6" w14:textId="77777777" w:rsidR="00226C2F" w:rsidRPr="005F0DEC" w:rsidRDefault="00226C2F" w:rsidP="00C943B2">
      <w:pPr>
        <w:rPr>
          <w:rFonts w:ascii="Segoe UI" w:hAnsi="Segoe UI" w:cs="Segoe UI"/>
          <w:b/>
          <w:color w:val="000000" w:themeColor="text1"/>
          <w:sz w:val="20"/>
          <w:szCs w:val="20"/>
        </w:rPr>
      </w:pPr>
    </w:p>
    <w:p w14:paraId="42405316"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Adan Domenech</w:t>
      </w:r>
      <w:r w:rsidRPr="000B1075">
        <w:rPr>
          <w:sz w:val="20"/>
          <w:szCs w:val="20"/>
        </w:rPr>
        <w:t xml:space="preserve">, Federico. “¿La compra del coche al mejor precio?”: </w:t>
      </w:r>
      <w:r w:rsidRPr="000B1075">
        <w:rPr>
          <w:i/>
          <w:sz w:val="20"/>
          <w:szCs w:val="20"/>
        </w:rPr>
        <w:t>Revista Jurídica sobre Consumidores y Usuarios</w:t>
      </w:r>
      <w:r w:rsidRPr="000B1075">
        <w:rPr>
          <w:sz w:val="20"/>
          <w:szCs w:val="20"/>
        </w:rPr>
        <w:t xml:space="preserve">, Nº 12. Aspectos problemáticos del cártel de coches y camiones, Octubre 2022. </w:t>
      </w:r>
    </w:p>
    <w:p w14:paraId="38C0475D" w14:textId="77777777" w:rsidR="00FD1E51" w:rsidRPr="000B1075" w:rsidRDefault="00FD1E51" w:rsidP="00FD1E51">
      <w:pPr>
        <w:pStyle w:val="Prrafodelista"/>
        <w:ind w:left="-348"/>
        <w:jc w:val="both"/>
        <w:rPr>
          <w:sz w:val="20"/>
          <w:szCs w:val="20"/>
        </w:rPr>
      </w:pPr>
    </w:p>
    <w:p w14:paraId="437E827E"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Alonso García</w:t>
      </w:r>
      <w:r w:rsidRPr="000B1075">
        <w:rPr>
          <w:sz w:val="20"/>
          <w:szCs w:val="20"/>
        </w:rPr>
        <w:t xml:space="preserve">, Ricardo. “El TC y el derecho al olvido: ¿allanando un camino “a la alemana” de la CDFUE como parámetro directo de amparo?”: </w:t>
      </w:r>
      <w:r w:rsidRPr="000B1075">
        <w:rPr>
          <w:i/>
          <w:sz w:val="20"/>
          <w:szCs w:val="20"/>
        </w:rPr>
        <w:t>REDE. Revista española de derecho europeo</w:t>
      </w:r>
      <w:r w:rsidRPr="000B1075">
        <w:rPr>
          <w:sz w:val="20"/>
          <w:szCs w:val="20"/>
        </w:rPr>
        <w:t xml:space="preserve">, ISSN 1579-6302, Nº. 82, 2022, págs. 9-15. </w:t>
      </w:r>
    </w:p>
    <w:p w14:paraId="6760EF17" w14:textId="77777777" w:rsidR="00FD1E51" w:rsidRPr="000B1075" w:rsidRDefault="00FD1E51" w:rsidP="00FD1E51">
      <w:pPr>
        <w:pStyle w:val="Prrafodelista"/>
        <w:ind w:left="-348"/>
        <w:jc w:val="both"/>
        <w:rPr>
          <w:sz w:val="20"/>
          <w:szCs w:val="20"/>
        </w:rPr>
      </w:pPr>
    </w:p>
    <w:p w14:paraId="0CC144F6"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Alonso Pérez</w:t>
      </w:r>
      <w:r w:rsidRPr="000B1075">
        <w:rPr>
          <w:sz w:val="20"/>
          <w:szCs w:val="20"/>
        </w:rPr>
        <w:t xml:space="preserve">, María Teresa. “Función notarial y transparencia en la formación del contrato de préstamo hipotecario para adquisición de vivienda”: </w:t>
      </w:r>
      <w:r w:rsidRPr="000B1075">
        <w:rPr>
          <w:i/>
          <w:sz w:val="20"/>
          <w:szCs w:val="20"/>
        </w:rPr>
        <w:t>Revista de Derecho Civil</w:t>
      </w:r>
      <w:r w:rsidRPr="000B1075">
        <w:rPr>
          <w:sz w:val="20"/>
          <w:szCs w:val="20"/>
        </w:rPr>
        <w:t>, Vol. IX, Núm. 4 (2022), págs. 137-194.</w:t>
      </w:r>
    </w:p>
    <w:p w14:paraId="6D7F51A7" w14:textId="77777777" w:rsidR="00FD1E51" w:rsidRPr="000B1075" w:rsidRDefault="00FD1E51" w:rsidP="00FD1E51">
      <w:pPr>
        <w:pStyle w:val="Prrafodelista"/>
        <w:ind w:left="-348"/>
        <w:jc w:val="both"/>
        <w:rPr>
          <w:sz w:val="20"/>
          <w:szCs w:val="20"/>
        </w:rPr>
      </w:pPr>
    </w:p>
    <w:p w14:paraId="486C6E07"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Alonso</w:t>
      </w:r>
      <w:r w:rsidRPr="000B1075">
        <w:rPr>
          <w:sz w:val="20"/>
          <w:szCs w:val="20"/>
        </w:rPr>
        <w:t xml:space="preserve">, Carolina; </w:t>
      </w:r>
      <w:r w:rsidRPr="000B1075">
        <w:rPr>
          <w:caps/>
          <w:sz w:val="20"/>
          <w:szCs w:val="20"/>
        </w:rPr>
        <w:t>Gil</w:t>
      </w:r>
      <w:r w:rsidRPr="000B1075">
        <w:rPr>
          <w:sz w:val="20"/>
          <w:szCs w:val="20"/>
        </w:rPr>
        <w:t xml:space="preserve">, Hugo. “El nuevo mapa de los seguros tras la Covid-19: tendencias y novedades”: </w:t>
      </w:r>
      <w:r w:rsidRPr="000B1075">
        <w:rPr>
          <w:i/>
          <w:sz w:val="20"/>
          <w:szCs w:val="20"/>
        </w:rPr>
        <w:t>Práctica derecho daños: Revista de Responsabilidad Civil y Seguros</w:t>
      </w:r>
      <w:r w:rsidRPr="000B1075">
        <w:rPr>
          <w:sz w:val="20"/>
          <w:szCs w:val="20"/>
        </w:rPr>
        <w:t xml:space="preserve">, ISSN 1696-0394, Nº. 152, 2022, pág. 2. </w:t>
      </w:r>
    </w:p>
    <w:p w14:paraId="02C5CDDA" w14:textId="77777777" w:rsidR="00FD1E51" w:rsidRPr="000B1075" w:rsidRDefault="00FD1E51" w:rsidP="00FD1E51">
      <w:pPr>
        <w:pStyle w:val="Prrafodelista"/>
        <w:ind w:left="-348"/>
        <w:jc w:val="both"/>
        <w:rPr>
          <w:sz w:val="20"/>
          <w:szCs w:val="20"/>
        </w:rPr>
      </w:pPr>
    </w:p>
    <w:p w14:paraId="7976C65C"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Álvarez Lata</w:t>
      </w:r>
      <w:r w:rsidRPr="000B1075">
        <w:rPr>
          <w:sz w:val="20"/>
          <w:szCs w:val="20"/>
        </w:rPr>
        <w:t xml:space="preserve">, Natalia. “Control de transparencia y préstamos </w:t>
      </w:r>
      <w:proofErr w:type="spellStart"/>
      <w:r w:rsidRPr="000B1075">
        <w:rPr>
          <w:sz w:val="20"/>
          <w:szCs w:val="20"/>
        </w:rPr>
        <w:t>multidivisa</w:t>
      </w:r>
      <w:proofErr w:type="spellEnd"/>
      <w:r w:rsidRPr="000B1075">
        <w:rPr>
          <w:sz w:val="20"/>
          <w:szCs w:val="20"/>
        </w:rPr>
        <w:t xml:space="preserve">. Comentario a la STS (Sala de lo </w:t>
      </w:r>
      <w:proofErr w:type="spellStart"/>
      <w:r w:rsidRPr="000B1075">
        <w:rPr>
          <w:sz w:val="20"/>
          <w:szCs w:val="20"/>
        </w:rPr>
        <w:t>CIvil</w:t>
      </w:r>
      <w:proofErr w:type="spellEnd"/>
      <w:r w:rsidRPr="000B1075">
        <w:rPr>
          <w:sz w:val="20"/>
          <w:szCs w:val="20"/>
        </w:rPr>
        <w:t xml:space="preserve">, Sección 1ª) Núm. 776/2021, de 10 noviembre (RJ 2021, 5002)”: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119, 2022, págs. 235-248. </w:t>
      </w:r>
    </w:p>
    <w:p w14:paraId="5CA4B108" w14:textId="77777777" w:rsidR="00FD1E51" w:rsidRPr="000B1075" w:rsidRDefault="00FD1E51" w:rsidP="00FD1E51">
      <w:pPr>
        <w:pStyle w:val="Prrafodelista"/>
        <w:ind w:left="-348"/>
        <w:jc w:val="both"/>
        <w:rPr>
          <w:sz w:val="20"/>
          <w:szCs w:val="20"/>
        </w:rPr>
      </w:pPr>
    </w:p>
    <w:p w14:paraId="3528692E"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Blandino Garrido</w:t>
      </w:r>
      <w:r w:rsidRPr="000B1075">
        <w:rPr>
          <w:sz w:val="20"/>
          <w:szCs w:val="20"/>
        </w:rPr>
        <w:t xml:space="preserve">, Mª Amalia. “El consentimiento del interesado al tratamiento de sus datos personales en las comunicaciones electrónicas”: </w:t>
      </w:r>
      <w:r w:rsidRPr="000B1075">
        <w:rPr>
          <w:i/>
          <w:sz w:val="20"/>
          <w:szCs w:val="20"/>
        </w:rPr>
        <w:t>Revista de Derecho Civil</w:t>
      </w:r>
      <w:r w:rsidRPr="000B1075">
        <w:rPr>
          <w:sz w:val="20"/>
          <w:szCs w:val="20"/>
        </w:rPr>
        <w:t>, Vol. IX, Núm. 4 (2022), págs. 195-228.</w:t>
      </w:r>
    </w:p>
    <w:p w14:paraId="6A57EB6A" w14:textId="77777777" w:rsidR="00FD1E51" w:rsidRPr="000B1075" w:rsidRDefault="00FD1E51" w:rsidP="00FD1E51">
      <w:pPr>
        <w:pStyle w:val="Prrafodelista"/>
        <w:ind w:left="-348"/>
        <w:jc w:val="both"/>
        <w:rPr>
          <w:sz w:val="20"/>
          <w:szCs w:val="20"/>
        </w:rPr>
      </w:pPr>
    </w:p>
    <w:p w14:paraId="49EF3C51"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Busto Lago</w:t>
      </w:r>
      <w:r w:rsidRPr="000B1075">
        <w:rPr>
          <w:sz w:val="20"/>
          <w:szCs w:val="20"/>
        </w:rPr>
        <w:t xml:space="preserve">, José Manuel. “Responsabilidad del emisor frente al adquiriente en el mercado secundario por la información contenida en el folleto informativo en el caso de que sea errónea o engañosa. Comentario a la STS 770/2021, de 5 de noviembre (RJ 2021, 4986)”: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119, 2022, págs. 209-234. </w:t>
      </w:r>
    </w:p>
    <w:p w14:paraId="79E9BE19" w14:textId="77777777" w:rsidR="00FD1E51" w:rsidRPr="000B1075" w:rsidRDefault="00FD1E51" w:rsidP="00FD1E51">
      <w:pPr>
        <w:pStyle w:val="Prrafodelista"/>
        <w:ind w:left="-348"/>
        <w:jc w:val="both"/>
        <w:rPr>
          <w:sz w:val="20"/>
          <w:szCs w:val="20"/>
        </w:rPr>
      </w:pPr>
    </w:p>
    <w:p w14:paraId="172EBAA6"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Campos Rivera</w:t>
      </w:r>
      <w:r w:rsidRPr="000B1075">
        <w:rPr>
          <w:sz w:val="20"/>
          <w:szCs w:val="20"/>
        </w:rPr>
        <w:t xml:space="preserve">, Gonzalo. “Responsabilidad civil derivada del uso de sistemas de IA: Situación actual y retos para un futuro reglamento europeo”: </w:t>
      </w:r>
      <w:r w:rsidRPr="000B1075">
        <w:rPr>
          <w:i/>
          <w:sz w:val="20"/>
          <w:szCs w:val="20"/>
        </w:rPr>
        <w:t>Revista jurídica Universidad Autónoma de Madrid</w:t>
      </w:r>
      <w:r w:rsidRPr="000B1075">
        <w:rPr>
          <w:sz w:val="20"/>
          <w:szCs w:val="20"/>
        </w:rPr>
        <w:t xml:space="preserve">, ISSN 1575-720X, Nº. 46, 2022, págs. 173-215. </w:t>
      </w:r>
    </w:p>
    <w:p w14:paraId="76BB25A1" w14:textId="77777777" w:rsidR="00FD1E51" w:rsidRPr="000B1075" w:rsidRDefault="00FD1E51" w:rsidP="00FD1E51">
      <w:pPr>
        <w:pStyle w:val="Prrafodelista"/>
        <w:ind w:left="-348"/>
        <w:jc w:val="both"/>
        <w:rPr>
          <w:sz w:val="20"/>
          <w:szCs w:val="20"/>
        </w:rPr>
      </w:pPr>
    </w:p>
    <w:p w14:paraId="049F7B97" w14:textId="77777777" w:rsidR="00FD1E51" w:rsidRPr="000B1075" w:rsidRDefault="00FD1E51" w:rsidP="00FD1E51">
      <w:pPr>
        <w:pStyle w:val="Prrafodelista"/>
        <w:numPr>
          <w:ilvl w:val="0"/>
          <w:numId w:val="10"/>
        </w:numPr>
        <w:ind w:left="360"/>
        <w:jc w:val="both"/>
        <w:rPr>
          <w:sz w:val="20"/>
          <w:szCs w:val="20"/>
        </w:rPr>
      </w:pPr>
      <w:r w:rsidRPr="000B1075">
        <w:rPr>
          <w:sz w:val="20"/>
          <w:szCs w:val="20"/>
        </w:rPr>
        <w:t xml:space="preserve">CARRASCO PERERA, Ángel Francisco. “Más allá del </w:t>
      </w:r>
      <w:proofErr w:type="spellStart"/>
      <w:r w:rsidRPr="000B1075">
        <w:rPr>
          <w:sz w:val="20"/>
          <w:szCs w:val="20"/>
        </w:rPr>
        <w:t>Dieselgate</w:t>
      </w:r>
      <w:proofErr w:type="spellEnd"/>
      <w:r w:rsidRPr="000B1075">
        <w:rPr>
          <w:sz w:val="20"/>
          <w:szCs w:val="20"/>
        </w:rPr>
        <w:t xml:space="preserve">: el insostenible caso en favor de remedios sostenibles en las ventas al consumidor”, </w:t>
      </w:r>
      <w:r w:rsidRPr="000B1075">
        <w:rPr>
          <w:i/>
          <w:sz w:val="20"/>
          <w:szCs w:val="20"/>
        </w:rPr>
        <w:t>Revista CESCO de Derecho de Consumo</w:t>
      </w:r>
      <w:r w:rsidRPr="000B1075">
        <w:rPr>
          <w:sz w:val="20"/>
          <w:szCs w:val="20"/>
        </w:rPr>
        <w:t xml:space="preserve">, Nº 45 (enero-marzo) 2023, págs. 1-28. </w:t>
      </w:r>
    </w:p>
    <w:p w14:paraId="75550B1F" w14:textId="77777777" w:rsidR="00FD1E51" w:rsidRPr="000B1075" w:rsidRDefault="00FD1E51" w:rsidP="00FD1E51">
      <w:pPr>
        <w:pStyle w:val="Prrafodelista"/>
        <w:ind w:left="-348"/>
        <w:jc w:val="both"/>
        <w:rPr>
          <w:sz w:val="20"/>
          <w:szCs w:val="20"/>
        </w:rPr>
      </w:pPr>
    </w:p>
    <w:p w14:paraId="5A989819"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Castilla Barea</w:t>
      </w:r>
      <w:r w:rsidRPr="000B1075">
        <w:rPr>
          <w:sz w:val="20"/>
          <w:szCs w:val="20"/>
        </w:rPr>
        <w:t xml:space="preserve">, Margarita. “Legitimación activa para el ejercicio de acciones en caso de impago de crédito hipotecario titulizado en participaciones hipotecarias. Comentario a la STS de 20 de octubre de 2021 (RJ 2021, 4849)”: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119, 2022, págs. 111-140. </w:t>
      </w:r>
    </w:p>
    <w:p w14:paraId="2B0FF064" w14:textId="77777777" w:rsidR="00FD1E51" w:rsidRPr="000B1075" w:rsidRDefault="00FD1E51" w:rsidP="00FD1E51">
      <w:pPr>
        <w:pStyle w:val="Prrafodelista"/>
        <w:ind w:left="-348"/>
        <w:jc w:val="both"/>
        <w:rPr>
          <w:sz w:val="20"/>
          <w:szCs w:val="20"/>
        </w:rPr>
      </w:pPr>
    </w:p>
    <w:p w14:paraId="1D860917"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Chaparro Matamoros</w:t>
      </w:r>
      <w:r w:rsidRPr="000B1075">
        <w:rPr>
          <w:sz w:val="20"/>
          <w:szCs w:val="20"/>
        </w:rPr>
        <w:t xml:space="preserve">, Pedro. “La discutible inclusión del interés de demora en el concepto de "derechos accesorios" al crédito del art. 1528 CC”: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120, 2022, págs. 35-44. </w:t>
      </w:r>
    </w:p>
    <w:p w14:paraId="3A178C40" w14:textId="77777777" w:rsidR="00FD1E51" w:rsidRPr="000B1075" w:rsidRDefault="00FD1E51" w:rsidP="00FD1E51">
      <w:pPr>
        <w:pStyle w:val="Prrafodelista"/>
        <w:ind w:left="-348"/>
        <w:jc w:val="both"/>
        <w:rPr>
          <w:sz w:val="20"/>
          <w:szCs w:val="20"/>
        </w:rPr>
      </w:pPr>
    </w:p>
    <w:p w14:paraId="346C455F"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Colmenero Guerra</w:t>
      </w:r>
      <w:r w:rsidRPr="000B1075">
        <w:rPr>
          <w:sz w:val="20"/>
          <w:szCs w:val="20"/>
        </w:rPr>
        <w:t xml:space="preserve">, José Antonio. “La necesidad de una ley de resolución alternativa de conflictos en materia de consumo”: </w:t>
      </w:r>
      <w:r w:rsidRPr="000B1075">
        <w:rPr>
          <w:i/>
          <w:sz w:val="20"/>
          <w:szCs w:val="20"/>
        </w:rPr>
        <w:t>La Ley. Mediación y arbitraje</w:t>
      </w:r>
      <w:r w:rsidRPr="000B1075">
        <w:rPr>
          <w:sz w:val="20"/>
          <w:szCs w:val="20"/>
        </w:rPr>
        <w:t xml:space="preserve">, ISSN-e 2660-7808, Nº. 12 (Julio-Septiembre), 2022. </w:t>
      </w:r>
    </w:p>
    <w:p w14:paraId="38AE2A59" w14:textId="77777777" w:rsidR="00FD1E51" w:rsidRPr="000B1075" w:rsidRDefault="00FD1E51" w:rsidP="00FD1E51">
      <w:pPr>
        <w:pStyle w:val="Prrafodelista"/>
        <w:ind w:left="-348"/>
        <w:jc w:val="both"/>
        <w:rPr>
          <w:sz w:val="20"/>
          <w:szCs w:val="20"/>
        </w:rPr>
      </w:pPr>
    </w:p>
    <w:p w14:paraId="0C9B7433"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Cordero Lobato</w:t>
      </w:r>
      <w:r w:rsidRPr="000B1075">
        <w:rPr>
          <w:sz w:val="20"/>
          <w:szCs w:val="20"/>
        </w:rPr>
        <w:t xml:space="preserve">, Encarna. “Ampliación del crédito hipotecario: modificación y ampliación de hipoteca vs hipoteca independiente”: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120, 2022, págs. 45-60. </w:t>
      </w:r>
    </w:p>
    <w:p w14:paraId="42C5702A" w14:textId="77777777" w:rsidR="00FD1E51" w:rsidRPr="000B1075" w:rsidRDefault="00FD1E51" w:rsidP="00FD1E51">
      <w:pPr>
        <w:pStyle w:val="Prrafodelista"/>
        <w:ind w:left="-348"/>
        <w:jc w:val="both"/>
        <w:rPr>
          <w:sz w:val="20"/>
          <w:szCs w:val="20"/>
        </w:rPr>
      </w:pPr>
    </w:p>
    <w:p w14:paraId="2B6CD878"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Cuena Casas</w:t>
      </w:r>
      <w:r w:rsidRPr="000B1075">
        <w:rPr>
          <w:sz w:val="20"/>
          <w:szCs w:val="20"/>
        </w:rPr>
        <w:t xml:space="preserve">, Matilde. “Reforma concursal: segunda oportunidad y ejecución de la vivienda habitual”: </w:t>
      </w:r>
      <w:r w:rsidRPr="000B1075">
        <w:rPr>
          <w:i/>
          <w:sz w:val="20"/>
          <w:szCs w:val="20"/>
        </w:rPr>
        <w:t>El notario del siglo XXI: revista del Colegio Notarial de Madrid</w:t>
      </w:r>
      <w:r w:rsidRPr="000B1075">
        <w:rPr>
          <w:sz w:val="20"/>
          <w:szCs w:val="20"/>
        </w:rPr>
        <w:t xml:space="preserve">, ISSN 1885-009X, Nº. 105, 2022, págs. 14-21. </w:t>
      </w:r>
    </w:p>
    <w:p w14:paraId="09B94BF0" w14:textId="77777777" w:rsidR="00FD1E51" w:rsidRPr="000B1075" w:rsidRDefault="00FD1E51" w:rsidP="00FD1E51">
      <w:pPr>
        <w:pStyle w:val="Prrafodelista"/>
        <w:ind w:left="-348"/>
        <w:jc w:val="both"/>
        <w:rPr>
          <w:sz w:val="20"/>
          <w:szCs w:val="20"/>
        </w:rPr>
      </w:pPr>
    </w:p>
    <w:p w14:paraId="24A2EF96"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Dopazo Fraguío</w:t>
      </w:r>
      <w:r w:rsidRPr="000B1075">
        <w:rPr>
          <w:sz w:val="20"/>
          <w:szCs w:val="20"/>
        </w:rPr>
        <w:t xml:space="preserve">, M.ª Pilar. “El nuevo reglamento europeo para la gobernanza del dato: ¿Liberación segura de información y neutralidad de su tratamiento?”: </w:t>
      </w:r>
      <w:r w:rsidRPr="000B1075">
        <w:rPr>
          <w:i/>
          <w:sz w:val="20"/>
          <w:szCs w:val="20"/>
        </w:rPr>
        <w:t>REDE. Revista española de derecho europeo</w:t>
      </w:r>
      <w:r w:rsidRPr="000B1075">
        <w:rPr>
          <w:sz w:val="20"/>
          <w:szCs w:val="20"/>
        </w:rPr>
        <w:t xml:space="preserve">, ISSN 1579-6302, Nº. 82, 2022, págs. 115-166. </w:t>
      </w:r>
    </w:p>
    <w:p w14:paraId="19CE0637" w14:textId="77777777" w:rsidR="00FD1E51" w:rsidRPr="000B1075" w:rsidRDefault="00FD1E51" w:rsidP="00FD1E51">
      <w:pPr>
        <w:pStyle w:val="Prrafodelista"/>
        <w:ind w:left="-348"/>
        <w:jc w:val="both"/>
        <w:rPr>
          <w:sz w:val="20"/>
          <w:szCs w:val="20"/>
        </w:rPr>
      </w:pPr>
    </w:p>
    <w:p w14:paraId="0FD132B7"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Durán Rivacoba</w:t>
      </w:r>
      <w:r w:rsidRPr="000B1075">
        <w:rPr>
          <w:sz w:val="20"/>
          <w:szCs w:val="20"/>
        </w:rPr>
        <w:t xml:space="preserve">, Ramón. “El interés normal del dinero (Tipo medio estadístico versus tipo práctico frecuente)”: </w:t>
      </w:r>
      <w:r w:rsidRPr="000B1075">
        <w:rPr>
          <w:i/>
          <w:sz w:val="20"/>
          <w:szCs w:val="20"/>
        </w:rPr>
        <w:t>Diario La Ley</w:t>
      </w:r>
      <w:r w:rsidRPr="000B1075">
        <w:rPr>
          <w:sz w:val="20"/>
          <w:szCs w:val="20"/>
        </w:rPr>
        <w:t xml:space="preserve">, ISSN 1989-6913, Nº 1059, 2022. </w:t>
      </w:r>
    </w:p>
    <w:p w14:paraId="67935BF0" w14:textId="77777777" w:rsidR="00FD1E51" w:rsidRPr="000B1075" w:rsidRDefault="00FD1E51" w:rsidP="00FD1E51">
      <w:pPr>
        <w:pStyle w:val="Prrafodelista"/>
        <w:ind w:left="-348"/>
        <w:jc w:val="both"/>
        <w:rPr>
          <w:sz w:val="20"/>
          <w:szCs w:val="20"/>
        </w:rPr>
      </w:pPr>
    </w:p>
    <w:p w14:paraId="1B3AEEA4"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Estancona Pérez</w:t>
      </w:r>
      <w:r w:rsidRPr="000B1075">
        <w:rPr>
          <w:sz w:val="20"/>
          <w:szCs w:val="20"/>
        </w:rPr>
        <w:t xml:space="preserve">, Araya Alicia. “Análisis de la normativa sectorial de arrendamientos de vivienda de uso turístico”: </w:t>
      </w:r>
      <w:r w:rsidRPr="000B1075">
        <w:rPr>
          <w:i/>
          <w:sz w:val="20"/>
          <w:szCs w:val="20"/>
        </w:rPr>
        <w:t>Revista Crítica de Derecho Inmobiliario</w:t>
      </w:r>
      <w:r w:rsidRPr="000B1075">
        <w:rPr>
          <w:sz w:val="20"/>
          <w:szCs w:val="20"/>
        </w:rPr>
        <w:t xml:space="preserve">, ISSN 0210-0444, Año nº 98, Nº 791, 2022, págs. 1493-1544. </w:t>
      </w:r>
    </w:p>
    <w:p w14:paraId="3EE1C4FF" w14:textId="77777777" w:rsidR="00FD1E51" w:rsidRPr="000B1075" w:rsidRDefault="00FD1E51" w:rsidP="00FD1E51">
      <w:pPr>
        <w:pStyle w:val="Prrafodelista"/>
        <w:ind w:left="-348"/>
        <w:jc w:val="both"/>
        <w:rPr>
          <w:sz w:val="20"/>
          <w:szCs w:val="20"/>
        </w:rPr>
      </w:pPr>
    </w:p>
    <w:p w14:paraId="764F460C"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Estébanez Izquierdo</w:t>
      </w:r>
      <w:r w:rsidRPr="000B1075">
        <w:rPr>
          <w:sz w:val="20"/>
          <w:szCs w:val="20"/>
        </w:rPr>
        <w:t xml:space="preserve">, José Manuel. “Apuntes sobre el procedimiento de ejecución hipotecaria”: </w:t>
      </w:r>
      <w:r w:rsidRPr="000B1075">
        <w:rPr>
          <w:i/>
          <w:sz w:val="20"/>
          <w:szCs w:val="20"/>
        </w:rPr>
        <w:t xml:space="preserve">Revista de Derecho </w:t>
      </w:r>
      <w:proofErr w:type="spellStart"/>
      <w:r w:rsidRPr="000B1075">
        <w:rPr>
          <w:i/>
          <w:sz w:val="20"/>
          <w:szCs w:val="20"/>
        </w:rPr>
        <w:t>vLex</w:t>
      </w:r>
      <w:proofErr w:type="spellEnd"/>
      <w:r w:rsidRPr="000B1075">
        <w:rPr>
          <w:sz w:val="20"/>
          <w:szCs w:val="20"/>
        </w:rPr>
        <w:t xml:space="preserve">, Nº 222, Noviembre 2022. </w:t>
      </w:r>
    </w:p>
    <w:p w14:paraId="5A3F2B46" w14:textId="77777777" w:rsidR="00FD1E51" w:rsidRPr="000B1075" w:rsidRDefault="00FD1E51" w:rsidP="00FD1E51">
      <w:pPr>
        <w:pStyle w:val="Prrafodelista"/>
        <w:ind w:left="-348"/>
        <w:jc w:val="both"/>
        <w:rPr>
          <w:sz w:val="20"/>
          <w:szCs w:val="20"/>
        </w:rPr>
      </w:pPr>
    </w:p>
    <w:p w14:paraId="446C1271"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 xml:space="preserve">Estruch </w:t>
      </w:r>
      <w:proofErr w:type="spellStart"/>
      <w:r w:rsidRPr="000B1075">
        <w:rPr>
          <w:caps/>
          <w:sz w:val="20"/>
          <w:szCs w:val="20"/>
        </w:rPr>
        <w:t>Estruch</w:t>
      </w:r>
      <w:proofErr w:type="spellEnd"/>
      <w:r w:rsidRPr="000B1075">
        <w:rPr>
          <w:sz w:val="20"/>
          <w:szCs w:val="20"/>
        </w:rPr>
        <w:t xml:space="preserve">, Jesús. “Hojas de visita y honorarios de la agencia inmobiliaria”: </w:t>
      </w:r>
      <w:r w:rsidRPr="000B1075">
        <w:rPr>
          <w:i/>
          <w:sz w:val="20"/>
          <w:szCs w:val="20"/>
        </w:rPr>
        <w:t>Revista de Derecho Civil</w:t>
      </w:r>
      <w:r w:rsidRPr="000B1075">
        <w:rPr>
          <w:sz w:val="20"/>
          <w:szCs w:val="20"/>
        </w:rPr>
        <w:t>, Vol. IX, Núm. 4 (2022), págs. 1-50.</w:t>
      </w:r>
    </w:p>
    <w:p w14:paraId="010C561E" w14:textId="77777777" w:rsidR="00FD1E51" w:rsidRPr="000B1075" w:rsidRDefault="00FD1E51" w:rsidP="00FD1E51">
      <w:pPr>
        <w:pStyle w:val="Prrafodelista"/>
        <w:ind w:left="-348"/>
        <w:jc w:val="both"/>
        <w:rPr>
          <w:sz w:val="20"/>
          <w:szCs w:val="20"/>
        </w:rPr>
      </w:pPr>
    </w:p>
    <w:p w14:paraId="515060F0"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García Escobar</w:t>
      </w:r>
      <w:r w:rsidRPr="000B1075">
        <w:rPr>
          <w:sz w:val="20"/>
          <w:szCs w:val="20"/>
        </w:rPr>
        <w:t xml:space="preserve">, Gabriel A. “La interdicción de la usura: un principio revitalizado en la contratación bancaria por la reciente jurisprudencia”: </w:t>
      </w:r>
      <w:r w:rsidRPr="000B1075">
        <w:rPr>
          <w:i/>
          <w:sz w:val="20"/>
          <w:szCs w:val="20"/>
        </w:rPr>
        <w:t>Revista de derecho bancario y bursátil</w:t>
      </w:r>
      <w:r w:rsidRPr="000B1075">
        <w:rPr>
          <w:sz w:val="20"/>
          <w:szCs w:val="20"/>
        </w:rPr>
        <w:t xml:space="preserve">, ISSN 0211-6138, Año nº 41, Nº 167, 2022, págs. 125-152. </w:t>
      </w:r>
    </w:p>
    <w:p w14:paraId="13A3BF31" w14:textId="77777777" w:rsidR="00FD1E51" w:rsidRPr="000B1075" w:rsidRDefault="00FD1E51" w:rsidP="00FD1E51">
      <w:pPr>
        <w:pStyle w:val="Prrafodelista"/>
        <w:ind w:left="-348"/>
        <w:jc w:val="both"/>
        <w:rPr>
          <w:sz w:val="20"/>
          <w:szCs w:val="20"/>
        </w:rPr>
      </w:pPr>
    </w:p>
    <w:p w14:paraId="0BEA7E3D"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Gatica Rodríguez</w:t>
      </w:r>
      <w:r w:rsidRPr="000B1075">
        <w:rPr>
          <w:sz w:val="20"/>
          <w:szCs w:val="20"/>
        </w:rPr>
        <w:t xml:space="preserve">, María Paz; </w:t>
      </w:r>
      <w:r w:rsidRPr="000B1075">
        <w:rPr>
          <w:caps/>
          <w:sz w:val="20"/>
          <w:szCs w:val="20"/>
        </w:rPr>
        <w:t>Morales Ortiz</w:t>
      </w:r>
      <w:r w:rsidRPr="000B1075">
        <w:rPr>
          <w:sz w:val="20"/>
          <w:szCs w:val="20"/>
        </w:rPr>
        <w:t xml:space="preserve">, María Elisa. “El deber de profesionalidad como elemento determinante del estándar de diligencia en el derecho del consumo: un comentario a la sentencia de la Corte de Apelaciones de San Miguel de 15 de marzo de 2019 (Rol Nº 484-2018)”: </w:t>
      </w:r>
      <w:r w:rsidRPr="000B1075">
        <w:rPr>
          <w:i/>
          <w:sz w:val="20"/>
          <w:szCs w:val="20"/>
        </w:rPr>
        <w:t>Revista de derecho</w:t>
      </w:r>
      <w:r w:rsidRPr="000B1075">
        <w:rPr>
          <w:sz w:val="20"/>
          <w:szCs w:val="20"/>
        </w:rPr>
        <w:t xml:space="preserve">, ISSN 0717-5345, Vol. 29, 2022. </w:t>
      </w:r>
    </w:p>
    <w:p w14:paraId="3DF9AFEB" w14:textId="77777777" w:rsidR="00FD1E51" w:rsidRPr="000B1075" w:rsidRDefault="00FD1E51" w:rsidP="00FD1E51">
      <w:pPr>
        <w:pStyle w:val="Prrafodelista"/>
        <w:ind w:left="-348"/>
        <w:jc w:val="both"/>
        <w:rPr>
          <w:sz w:val="20"/>
          <w:szCs w:val="20"/>
        </w:rPr>
      </w:pPr>
    </w:p>
    <w:p w14:paraId="2EDEA855"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González Carrasco</w:t>
      </w:r>
      <w:r w:rsidRPr="000B1075">
        <w:rPr>
          <w:sz w:val="20"/>
          <w:szCs w:val="20"/>
        </w:rPr>
        <w:t xml:space="preserve">, Carmen. “La cirugía estética no genera responsabilidad si no existe mala praxis y el paciente fue adecuadamente informado del riesgo finalmente materializado. Comentario a la STS de 30 de noviembre de 2021 (RJ 2021, 5665)”: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ISSN 0212-6206, Nº 119, 2022, págs. 275-288.</w:t>
      </w:r>
    </w:p>
    <w:p w14:paraId="2EEC962D" w14:textId="77777777" w:rsidR="00FD1E51" w:rsidRPr="000B1075" w:rsidRDefault="00FD1E51" w:rsidP="00FD1E51">
      <w:pPr>
        <w:pStyle w:val="Prrafodelista"/>
        <w:ind w:left="-348"/>
        <w:jc w:val="both"/>
        <w:rPr>
          <w:sz w:val="20"/>
          <w:szCs w:val="20"/>
        </w:rPr>
      </w:pPr>
    </w:p>
    <w:p w14:paraId="454A1942"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lastRenderedPageBreak/>
        <w:t>González Cazorla</w:t>
      </w:r>
      <w:r w:rsidRPr="000B1075">
        <w:rPr>
          <w:sz w:val="20"/>
          <w:szCs w:val="20"/>
        </w:rPr>
        <w:t xml:space="preserve">, Fabian. “Daño moral del consumidor: Análisis sobre su concepto y delimitación en España”: </w:t>
      </w:r>
      <w:r w:rsidRPr="000B1075">
        <w:rPr>
          <w:i/>
          <w:sz w:val="20"/>
          <w:szCs w:val="20"/>
        </w:rPr>
        <w:t>Revista de Derecho Civil</w:t>
      </w:r>
      <w:r w:rsidRPr="000B1075">
        <w:rPr>
          <w:sz w:val="20"/>
          <w:szCs w:val="20"/>
        </w:rPr>
        <w:t xml:space="preserve">, ISSN 2341-2216, Vol. 9, Nº. 3 (julio-septiembre,), 2022, págs. 399-427. </w:t>
      </w:r>
    </w:p>
    <w:p w14:paraId="46B7DBCF" w14:textId="77777777" w:rsidR="00FD1E51" w:rsidRPr="000B1075" w:rsidRDefault="00FD1E51" w:rsidP="00FD1E51">
      <w:pPr>
        <w:pStyle w:val="Prrafodelista"/>
        <w:ind w:left="-348"/>
        <w:jc w:val="both"/>
        <w:rPr>
          <w:sz w:val="20"/>
          <w:szCs w:val="20"/>
        </w:rPr>
      </w:pPr>
    </w:p>
    <w:p w14:paraId="16785E15"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González Pacanowska</w:t>
      </w:r>
      <w:r w:rsidRPr="000B1075">
        <w:rPr>
          <w:sz w:val="20"/>
          <w:szCs w:val="20"/>
        </w:rPr>
        <w:t xml:space="preserve">, Isabel.  “La cláusula de intereses moratorios como cláusula penal: requisitos de validez y moderación por aplicación analógica del art. 1154 CC en contratos entre profesionales. Comentario a la STS 804/2021, de 23 noviembre (RJ 2021, 5177)”: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119, 2022, págs. 257-274. </w:t>
      </w:r>
    </w:p>
    <w:p w14:paraId="22BE02DA" w14:textId="77777777" w:rsidR="00FD1E51" w:rsidRPr="000B1075" w:rsidRDefault="00FD1E51" w:rsidP="00FD1E51">
      <w:pPr>
        <w:pStyle w:val="Prrafodelista"/>
        <w:ind w:left="-348"/>
        <w:jc w:val="both"/>
        <w:rPr>
          <w:sz w:val="20"/>
          <w:szCs w:val="20"/>
        </w:rPr>
      </w:pPr>
    </w:p>
    <w:p w14:paraId="6E803A03"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Lacruz Mantecón</w:t>
      </w:r>
      <w:r w:rsidRPr="000B1075">
        <w:rPr>
          <w:sz w:val="20"/>
          <w:szCs w:val="20"/>
        </w:rPr>
        <w:t xml:space="preserve">, Miguel L. “Robótica y responsabilidad civil: el daño cibernético”: </w:t>
      </w:r>
      <w:r w:rsidRPr="000B1075">
        <w:rPr>
          <w:i/>
          <w:sz w:val="20"/>
          <w:szCs w:val="20"/>
        </w:rPr>
        <w:t>Revista general de legislación y jurisprudencia</w:t>
      </w:r>
      <w:r w:rsidRPr="000B1075">
        <w:rPr>
          <w:sz w:val="20"/>
          <w:szCs w:val="20"/>
        </w:rPr>
        <w:t xml:space="preserve">, ISSN 0210-8518, Nº 3, 2022, págs. 379-415. </w:t>
      </w:r>
    </w:p>
    <w:p w14:paraId="483E769B"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Lara González</w:t>
      </w:r>
      <w:r w:rsidRPr="000B1075">
        <w:rPr>
          <w:sz w:val="20"/>
          <w:szCs w:val="20"/>
        </w:rPr>
        <w:t>, Rafael.  “Acerca del "</w:t>
      </w:r>
      <w:proofErr w:type="spellStart"/>
      <w:r w:rsidRPr="000B1075">
        <w:rPr>
          <w:sz w:val="20"/>
          <w:szCs w:val="20"/>
        </w:rPr>
        <w:t>dies</w:t>
      </w:r>
      <w:proofErr w:type="spellEnd"/>
      <w:r w:rsidRPr="000B1075">
        <w:rPr>
          <w:sz w:val="20"/>
          <w:szCs w:val="20"/>
        </w:rPr>
        <w:t xml:space="preserve"> a quo" en la acción de reclamación de las comisiones devengadas a favor del agente comercial”: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120, 2022, págs. 61-74. </w:t>
      </w:r>
    </w:p>
    <w:p w14:paraId="1F58F958" w14:textId="77777777" w:rsidR="00FD1E51" w:rsidRPr="000B1075" w:rsidRDefault="00FD1E51" w:rsidP="00FD1E51">
      <w:pPr>
        <w:pStyle w:val="Prrafodelista"/>
        <w:ind w:left="-348"/>
        <w:jc w:val="both"/>
        <w:rPr>
          <w:sz w:val="20"/>
          <w:szCs w:val="20"/>
        </w:rPr>
      </w:pPr>
    </w:p>
    <w:p w14:paraId="33626110"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Liñán Hernández</w:t>
      </w:r>
      <w:r w:rsidRPr="000B1075">
        <w:rPr>
          <w:sz w:val="20"/>
          <w:szCs w:val="20"/>
        </w:rPr>
        <w:t xml:space="preserve">, Patricia. “La prescripción de las acciones de daños por infracciones del derecho de la competencia. El régimen aplicable </w:t>
      </w:r>
      <w:proofErr w:type="spellStart"/>
      <w:r w:rsidRPr="000B1075">
        <w:rPr>
          <w:sz w:val="20"/>
          <w:szCs w:val="20"/>
        </w:rPr>
        <w:t>ratione</w:t>
      </w:r>
      <w:proofErr w:type="spellEnd"/>
      <w:r w:rsidRPr="000B1075">
        <w:rPr>
          <w:sz w:val="20"/>
          <w:szCs w:val="20"/>
        </w:rPr>
        <w:t xml:space="preserve"> </w:t>
      </w:r>
      <w:proofErr w:type="spellStart"/>
      <w:r w:rsidRPr="000B1075">
        <w:rPr>
          <w:sz w:val="20"/>
          <w:szCs w:val="20"/>
        </w:rPr>
        <w:t>temporis</w:t>
      </w:r>
      <w:proofErr w:type="spellEnd"/>
      <w:r w:rsidRPr="000B1075">
        <w:rPr>
          <w:sz w:val="20"/>
          <w:szCs w:val="20"/>
        </w:rPr>
        <w:t xml:space="preserve"> tras la Sentencia Volvo </w:t>
      </w:r>
      <w:proofErr w:type="spellStart"/>
      <w:r w:rsidRPr="000B1075">
        <w:rPr>
          <w:sz w:val="20"/>
          <w:szCs w:val="20"/>
        </w:rPr>
        <w:t>Trucks</w:t>
      </w:r>
      <w:proofErr w:type="spellEnd"/>
      <w:r w:rsidRPr="000B1075">
        <w:rPr>
          <w:sz w:val="20"/>
          <w:szCs w:val="20"/>
        </w:rPr>
        <w:t xml:space="preserve">”: </w:t>
      </w:r>
      <w:r w:rsidRPr="000B1075">
        <w:rPr>
          <w:i/>
          <w:sz w:val="20"/>
          <w:szCs w:val="20"/>
        </w:rPr>
        <w:t>Revista Jurídica sobre Consumidores y Usuarios</w:t>
      </w:r>
      <w:r w:rsidRPr="000B1075">
        <w:rPr>
          <w:sz w:val="20"/>
          <w:szCs w:val="20"/>
        </w:rPr>
        <w:t xml:space="preserve">, Nº 12. Aspectos problemáticos del cártel de coches y camiones, Octubre 2022. </w:t>
      </w:r>
    </w:p>
    <w:p w14:paraId="60327036" w14:textId="77777777" w:rsidR="00FD1E51" w:rsidRPr="000B1075" w:rsidRDefault="00FD1E51" w:rsidP="00FD1E51">
      <w:pPr>
        <w:pStyle w:val="Prrafodelista"/>
        <w:ind w:left="-348"/>
        <w:jc w:val="both"/>
        <w:rPr>
          <w:sz w:val="20"/>
          <w:szCs w:val="20"/>
        </w:rPr>
      </w:pPr>
    </w:p>
    <w:p w14:paraId="0A07B9D0"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López Ortega</w:t>
      </w:r>
      <w:r w:rsidRPr="000B1075">
        <w:rPr>
          <w:sz w:val="20"/>
          <w:szCs w:val="20"/>
        </w:rPr>
        <w:t xml:space="preserve">, Raquel. “Las plataformas digitales de alojamiento turístico en nuestra jurisprudencia”: </w:t>
      </w:r>
      <w:r w:rsidRPr="000B1075">
        <w:rPr>
          <w:i/>
          <w:sz w:val="20"/>
          <w:szCs w:val="20"/>
        </w:rPr>
        <w:t>Revista general de legislación y jurisprudencia</w:t>
      </w:r>
      <w:r w:rsidRPr="000B1075">
        <w:rPr>
          <w:sz w:val="20"/>
          <w:szCs w:val="20"/>
        </w:rPr>
        <w:t xml:space="preserve">, ISSN 0210-8518, Nº 3, 2022, págs. 417-450. </w:t>
      </w:r>
    </w:p>
    <w:p w14:paraId="65700D25" w14:textId="77777777" w:rsidR="00FD1E51" w:rsidRPr="000B1075" w:rsidRDefault="00FD1E51" w:rsidP="00FD1E51">
      <w:pPr>
        <w:pStyle w:val="Prrafodelista"/>
        <w:ind w:left="-348"/>
        <w:jc w:val="both"/>
        <w:rPr>
          <w:sz w:val="20"/>
          <w:szCs w:val="20"/>
        </w:rPr>
      </w:pPr>
    </w:p>
    <w:p w14:paraId="16B52135"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López Picó</w:t>
      </w:r>
      <w:r w:rsidRPr="000B1075">
        <w:rPr>
          <w:sz w:val="20"/>
          <w:szCs w:val="20"/>
        </w:rPr>
        <w:t xml:space="preserve">, Rubén. “La notificación del anuncio de la convocatoria de la subasta judicial de bienes muebles e inmuebles al ejecutado no personado involuntariamente: un estudio del art. 645.1 de la LEC”: </w:t>
      </w:r>
      <w:r w:rsidRPr="000B1075">
        <w:rPr>
          <w:i/>
          <w:sz w:val="20"/>
          <w:szCs w:val="20"/>
        </w:rPr>
        <w:t>Práctica de tribunales: revista de derecho procesal civil y mercantil</w:t>
      </w:r>
      <w:r w:rsidRPr="000B1075">
        <w:rPr>
          <w:sz w:val="20"/>
          <w:szCs w:val="20"/>
        </w:rPr>
        <w:t xml:space="preserve">, ISSN 1697-7068, Nº. 158, 2022. </w:t>
      </w:r>
    </w:p>
    <w:p w14:paraId="3DC79CC9" w14:textId="77777777" w:rsidR="00FD1E51" w:rsidRPr="000B1075" w:rsidRDefault="00FD1E51" w:rsidP="00FD1E51">
      <w:pPr>
        <w:pStyle w:val="Prrafodelista"/>
        <w:ind w:left="-348"/>
        <w:jc w:val="both"/>
        <w:rPr>
          <w:sz w:val="20"/>
          <w:szCs w:val="20"/>
        </w:rPr>
      </w:pPr>
    </w:p>
    <w:p w14:paraId="2DD69D24"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Lora González</w:t>
      </w:r>
      <w:r w:rsidRPr="000B1075">
        <w:rPr>
          <w:sz w:val="20"/>
          <w:szCs w:val="20"/>
        </w:rPr>
        <w:t xml:space="preserve">, Carlos; </w:t>
      </w:r>
      <w:r w:rsidRPr="000B1075">
        <w:rPr>
          <w:caps/>
          <w:sz w:val="20"/>
          <w:szCs w:val="20"/>
        </w:rPr>
        <w:t>Baena Solís</w:t>
      </w:r>
      <w:r w:rsidRPr="000B1075">
        <w:rPr>
          <w:sz w:val="20"/>
          <w:szCs w:val="20"/>
        </w:rPr>
        <w:t xml:space="preserve">, Marina. “Novedades recogidas en la reciente jurisprudencia constitucional en materia de vivienda”: </w:t>
      </w:r>
      <w:r w:rsidRPr="000B1075">
        <w:rPr>
          <w:i/>
          <w:sz w:val="20"/>
          <w:szCs w:val="20"/>
        </w:rPr>
        <w:t>Actualidad jurídica Uría Menéndez</w:t>
      </w:r>
      <w:r w:rsidRPr="000B1075">
        <w:rPr>
          <w:sz w:val="20"/>
          <w:szCs w:val="20"/>
        </w:rPr>
        <w:t xml:space="preserve">, ISSN 1578-956X, Nº. 58, 2022, págs. 145-153. </w:t>
      </w:r>
    </w:p>
    <w:p w14:paraId="1D574AEB" w14:textId="77777777" w:rsidR="00FD1E51" w:rsidRPr="000B1075" w:rsidRDefault="00FD1E51" w:rsidP="00FD1E51">
      <w:pPr>
        <w:pStyle w:val="Prrafodelista"/>
        <w:ind w:left="-348"/>
        <w:jc w:val="both"/>
        <w:rPr>
          <w:sz w:val="20"/>
          <w:szCs w:val="20"/>
        </w:rPr>
      </w:pPr>
    </w:p>
    <w:p w14:paraId="38E1CEDF"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Marcos</w:t>
      </w:r>
      <w:r w:rsidRPr="000B1075">
        <w:rPr>
          <w:sz w:val="20"/>
          <w:szCs w:val="20"/>
        </w:rPr>
        <w:t xml:space="preserve">, Francisco. “Alcance y límites de la responsabilidad solidaria por los daños causados por el cártel de fabricantes de automóviles”: </w:t>
      </w:r>
      <w:r w:rsidRPr="000B1075">
        <w:rPr>
          <w:i/>
          <w:sz w:val="20"/>
          <w:szCs w:val="20"/>
        </w:rPr>
        <w:t>Revista Jurídica sobre Consumidores y Usuarios</w:t>
      </w:r>
      <w:r w:rsidRPr="000B1075">
        <w:rPr>
          <w:sz w:val="20"/>
          <w:szCs w:val="20"/>
        </w:rPr>
        <w:t xml:space="preserve">, Nº 12. Aspectos problemáticos del cártel de coches y camiones, Octubre 2022. </w:t>
      </w:r>
    </w:p>
    <w:p w14:paraId="49CA0F03" w14:textId="77777777" w:rsidR="00FD1E51" w:rsidRPr="000B1075" w:rsidRDefault="00FD1E51" w:rsidP="00FD1E51">
      <w:pPr>
        <w:pStyle w:val="Prrafodelista"/>
        <w:ind w:left="-348"/>
        <w:jc w:val="both"/>
        <w:rPr>
          <w:sz w:val="20"/>
          <w:szCs w:val="20"/>
        </w:rPr>
      </w:pPr>
    </w:p>
    <w:p w14:paraId="67AEC34C"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Mateo Villa</w:t>
      </w:r>
      <w:r w:rsidRPr="000B1075">
        <w:rPr>
          <w:sz w:val="20"/>
          <w:szCs w:val="20"/>
        </w:rPr>
        <w:t xml:space="preserve">, Iñigo. “Del artículo 103 bis de la Ley Hipotecaria: la conciliación tramitada por el registrador (Tercera parte)”: </w:t>
      </w:r>
      <w:r w:rsidRPr="000B1075">
        <w:rPr>
          <w:i/>
          <w:sz w:val="20"/>
          <w:szCs w:val="20"/>
        </w:rPr>
        <w:t>Revista Crítica de Derecho Inmobiliario</w:t>
      </w:r>
      <w:r w:rsidRPr="000B1075">
        <w:rPr>
          <w:sz w:val="20"/>
          <w:szCs w:val="20"/>
        </w:rPr>
        <w:t xml:space="preserve">, ISSN 0210-0444, Año nº 98, Nº 791, 2022, págs. 1339-1386. </w:t>
      </w:r>
    </w:p>
    <w:p w14:paraId="36873950" w14:textId="77777777" w:rsidR="00FD1E51" w:rsidRPr="000B1075" w:rsidRDefault="00FD1E51" w:rsidP="00FD1E51">
      <w:pPr>
        <w:pStyle w:val="Prrafodelista"/>
        <w:ind w:left="-348"/>
        <w:jc w:val="both"/>
        <w:rPr>
          <w:sz w:val="20"/>
          <w:szCs w:val="20"/>
        </w:rPr>
      </w:pPr>
    </w:p>
    <w:p w14:paraId="7CAE91D1"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Molina Hernández</w:t>
      </w:r>
      <w:r w:rsidRPr="000B1075">
        <w:rPr>
          <w:sz w:val="20"/>
          <w:szCs w:val="20"/>
        </w:rPr>
        <w:t xml:space="preserve">, Cecilio. “La propuesta de un plan de pagos, requisito ineludible para la obtención del </w:t>
      </w:r>
      <w:proofErr w:type="spellStart"/>
      <w:r w:rsidRPr="000B1075">
        <w:rPr>
          <w:sz w:val="20"/>
          <w:szCs w:val="20"/>
        </w:rPr>
        <w:t>benficio</w:t>
      </w:r>
      <w:proofErr w:type="spellEnd"/>
      <w:r w:rsidRPr="000B1075">
        <w:rPr>
          <w:sz w:val="20"/>
          <w:szCs w:val="20"/>
        </w:rPr>
        <w:t xml:space="preserve"> de exoneración del pasivo </w:t>
      </w:r>
      <w:proofErr w:type="spellStart"/>
      <w:r w:rsidRPr="000B1075">
        <w:rPr>
          <w:sz w:val="20"/>
          <w:szCs w:val="20"/>
        </w:rPr>
        <w:t>insadisfecho</w:t>
      </w:r>
      <w:proofErr w:type="spellEnd"/>
      <w:r w:rsidRPr="000B1075">
        <w:rPr>
          <w:sz w:val="20"/>
          <w:szCs w:val="20"/>
        </w:rPr>
        <w:t xml:space="preserve"> (comentario a la Sentencia del Tribunal Supremo 295/2022 [1ª] de 6 de abril de 20022”: </w:t>
      </w:r>
      <w:r w:rsidRPr="000B1075">
        <w:rPr>
          <w:i/>
          <w:sz w:val="20"/>
          <w:szCs w:val="20"/>
        </w:rPr>
        <w:t>Anuario de derecho concursal</w:t>
      </w:r>
      <w:r w:rsidRPr="000B1075">
        <w:rPr>
          <w:sz w:val="20"/>
          <w:szCs w:val="20"/>
        </w:rPr>
        <w:t xml:space="preserve">, ISSN 1698-997X, Nº. 57, 2022, págs. 197-214. </w:t>
      </w:r>
    </w:p>
    <w:p w14:paraId="501D045F" w14:textId="77777777" w:rsidR="00FD1E51" w:rsidRPr="000B1075" w:rsidRDefault="00FD1E51" w:rsidP="00FD1E51">
      <w:pPr>
        <w:pStyle w:val="Prrafodelista"/>
        <w:ind w:left="-348"/>
        <w:jc w:val="both"/>
        <w:rPr>
          <w:sz w:val="20"/>
          <w:szCs w:val="20"/>
        </w:rPr>
      </w:pPr>
    </w:p>
    <w:p w14:paraId="043D9DB0"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Moll de Alba</w:t>
      </w:r>
      <w:r w:rsidRPr="000B1075">
        <w:rPr>
          <w:sz w:val="20"/>
          <w:szCs w:val="20"/>
        </w:rPr>
        <w:t xml:space="preserve">, Chantal. “La arriesgada y débil posición d los fiadores de créditos clasificados cómo subordinados por la especial relación entre acreedor y concursado”: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120, 2022, págs. 11-22. </w:t>
      </w:r>
    </w:p>
    <w:p w14:paraId="4AD70F00" w14:textId="77777777" w:rsidR="00FD1E51" w:rsidRPr="000B1075" w:rsidRDefault="00FD1E51" w:rsidP="00FD1E51">
      <w:pPr>
        <w:pStyle w:val="Prrafodelista"/>
        <w:ind w:left="-348"/>
        <w:jc w:val="both"/>
        <w:rPr>
          <w:sz w:val="20"/>
          <w:szCs w:val="20"/>
        </w:rPr>
      </w:pPr>
    </w:p>
    <w:p w14:paraId="37675754"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lastRenderedPageBreak/>
        <w:t>Moreno Navarrete</w:t>
      </w:r>
      <w:r w:rsidRPr="000B1075">
        <w:rPr>
          <w:sz w:val="20"/>
          <w:szCs w:val="20"/>
        </w:rPr>
        <w:t xml:space="preserve">, Miguel Ángel. “Caducidad o prescripción de las acciones contra el avalista de viviendas en construcción. Comentario a la STS 4062/2021, de 2 de noviembre (RJ 2021, 4987)”: </w:t>
      </w:r>
      <w:r w:rsidRPr="000B1075">
        <w:rPr>
          <w:i/>
          <w:sz w:val="20"/>
          <w:szCs w:val="20"/>
        </w:rPr>
        <w:t xml:space="preserve">Cuadernos </w:t>
      </w:r>
      <w:proofErr w:type="spellStart"/>
      <w:r w:rsidRPr="000B1075">
        <w:rPr>
          <w:i/>
          <w:sz w:val="20"/>
          <w:szCs w:val="20"/>
        </w:rPr>
        <w:t>Civitas</w:t>
      </w:r>
      <w:proofErr w:type="spellEnd"/>
      <w:r w:rsidRPr="000B1075">
        <w:rPr>
          <w:i/>
          <w:sz w:val="20"/>
          <w:szCs w:val="20"/>
        </w:rPr>
        <w:t xml:space="preserve"> de jurisprudencia civil</w:t>
      </w:r>
      <w:r w:rsidRPr="000B1075">
        <w:rPr>
          <w:sz w:val="20"/>
          <w:szCs w:val="20"/>
        </w:rPr>
        <w:t xml:space="preserve">, ISSN 0212-6206, Nº 119, 2022, págs. 161-172. </w:t>
      </w:r>
    </w:p>
    <w:p w14:paraId="128E13AD" w14:textId="77777777" w:rsidR="00FD1E51" w:rsidRPr="000B1075" w:rsidRDefault="00FD1E51" w:rsidP="00FD1E51">
      <w:pPr>
        <w:pStyle w:val="Prrafodelista"/>
        <w:ind w:left="-348"/>
        <w:jc w:val="both"/>
        <w:rPr>
          <w:sz w:val="20"/>
          <w:szCs w:val="20"/>
        </w:rPr>
      </w:pPr>
    </w:p>
    <w:p w14:paraId="6F95855F"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Nägele García de Fuentes</w:t>
      </w:r>
      <w:r w:rsidRPr="000B1075">
        <w:rPr>
          <w:sz w:val="20"/>
          <w:szCs w:val="20"/>
        </w:rPr>
        <w:t xml:space="preserve">, Ignacio; </w:t>
      </w:r>
      <w:r w:rsidRPr="000B1075">
        <w:rPr>
          <w:caps/>
          <w:sz w:val="20"/>
          <w:szCs w:val="20"/>
        </w:rPr>
        <w:t>Rodríguez Leva</w:t>
      </w:r>
      <w:r w:rsidRPr="000B1075">
        <w:rPr>
          <w:sz w:val="20"/>
          <w:szCs w:val="20"/>
        </w:rPr>
        <w:t xml:space="preserve">, Gabriel. “Aplicación de la ley del contrato de crédito inmobiliario a financiaciones sujetas a legislación extranjera”: </w:t>
      </w:r>
      <w:r w:rsidRPr="000B1075">
        <w:rPr>
          <w:i/>
          <w:sz w:val="20"/>
          <w:szCs w:val="20"/>
        </w:rPr>
        <w:t>Actualidad jurídica Uría Menéndez</w:t>
      </w:r>
      <w:r w:rsidRPr="000B1075">
        <w:rPr>
          <w:sz w:val="20"/>
          <w:szCs w:val="20"/>
        </w:rPr>
        <w:t xml:space="preserve">, ISSN 1578-956X, Nº. 58, 2022, págs. 154-165. </w:t>
      </w:r>
    </w:p>
    <w:p w14:paraId="562A9030" w14:textId="77777777" w:rsidR="00FD1E51" w:rsidRPr="000B1075" w:rsidRDefault="00FD1E51" w:rsidP="00FD1E51">
      <w:pPr>
        <w:pStyle w:val="Prrafodelista"/>
        <w:ind w:left="-348"/>
        <w:jc w:val="both"/>
        <w:rPr>
          <w:sz w:val="20"/>
          <w:szCs w:val="20"/>
        </w:rPr>
      </w:pPr>
    </w:p>
    <w:p w14:paraId="39EA52E3"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Pedrosa Grandes</w:t>
      </w:r>
      <w:r w:rsidRPr="000B1075">
        <w:rPr>
          <w:sz w:val="20"/>
          <w:szCs w:val="20"/>
        </w:rPr>
        <w:t xml:space="preserve">, Íñigo; </w:t>
      </w:r>
      <w:r w:rsidRPr="000B1075">
        <w:rPr>
          <w:caps/>
          <w:sz w:val="20"/>
          <w:szCs w:val="20"/>
        </w:rPr>
        <w:t>Parra Pintado</w:t>
      </w:r>
      <w:r w:rsidRPr="000B1075">
        <w:rPr>
          <w:sz w:val="20"/>
          <w:szCs w:val="20"/>
        </w:rPr>
        <w:t xml:space="preserve">, Teresa. “La obligación del asegurador de abonar al Consorcio de Compensación de Seguros el recargo correspondiente al período durante el cual la póliza ha estado en vigor una vez el tomador ejercita el derecho de desistimiento”: </w:t>
      </w:r>
      <w:r w:rsidRPr="000B1075">
        <w:rPr>
          <w:i/>
          <w:sz w:val="20"/>
          <w:szCs w:val="20"/>
        </w:rPr>
        <w:t>Diario La Ley</w:t>
      </w:r>
      <w:r w:rsidRPr="000B1075">
        <w:rPr>
          <w:sz w:val="20"/>
          <w:szCs w:val="20"/>
        </w:rPr>
        <w:t xml:space="preserve">, ISSN 1989-6913, Nº 10185, 2022. </w:t>
      </w:r>
    </w:p>
    <w:p w14:paraId="6D7A92F2" w14:textId="77777777" w:rsidR="00FD1E51" w:rsidRPr="000B1075" w:rsidRDefault="00FD1E51" w:rsidP="00FD1E51">
      <w:pPr>
        <w:pStyle w:val="Prrafodelista"/>
        <w:ind w:left="-348"/>
        <w:jc w:val="both"/>
        <w:rPr>
          <w:sz w:val="20"/>
          <w:szCs w:val="20"/>
        </w:rPr>
      </w:pPr>
    </w:p>
    <w:p w14:paraId="12644EDE"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Ramírez</w:t>
      </w:r>
      <w:r w:rsidRPr="000B1075">
        <w:rPr>
          <w:sz w:val="20"/>
          <w:szCs w:val="20"/>
        </w:rPr>
        <w:t xml:space="preserve">, Francisco Javier; </w:t>
      </w:r>
      <w:r w:rsidRPr="000B1075">
        <w:rPr>
          <w:caps/>
          <w:sz w:val="20"/>
          <w:szCs w:val="20"/>
        </w:rPr>
        <w:t>Sánchez Asiaín</w:t>
      </w:r>
      <w:r w:rsidRPr="000B1075">
        <w:rPr>
          <w:sz w:val="20"/>
          <w:szCs w:val="20"/>
        </w:rPr>
        <w:t xml:space="preserve">, Ignacio. “La normativa sobre </w:t>
      </w:r>
      <w:proofErr w:type="spellStart"/>
      <w:r w:rsidRPr="000B1075">
        <w:rPr>
          <w:sz w:val="20"/>
          <w:szCs w:val="20"/>
        </w:rPr>
        <w:t>criptoactivos</w:t>
      </w:r>
      <w:proofErr w:type="spellEnd"/>
      <w:r w:rsidRPr="000B1075">
        <w:rPr>
          <w:sz w:val="20"/>
          <w:szCs w:val="20"/>
        </w:rPr>
        <w:t xml:space="preserve"> se empieza a acelerar”: </w:t>
      </w:r>
      <w:r w:rsidRPr="000B1075">
        <w:rPr>
          <w:i/>
          <w:sz w:val="20"/>
          <w:szCs w:val="20"/>
        </w:rPr>
        <w:t>Diario La Ley</w:t>
      </w:r>
      <w:r w:rsidRPr="000B1075">
        <w:rPr>
          <w:sz w:val="20"/>
          <w:szCs w:val="20"/>
        </w:rPr>
        <w:t xml:space="preserve">, ISSN 1989-6913, Nº 10151, 2022. </w:t>
      </w:r>
    </w:p>
    <w:p w14:paraId="2D32655A" w14:textId="77777777" w:rsidR="00FD1E51" w:rsidRPr="000B1075" w:rsidRDefault="00FD1E51" w:rsidP="00FD1E51">
      <w:pPr>
        <w:pStyle w:val="Prrafodelista"/>
        <w:ind w:left="-348"/>
        <w:jc w:val="both"/>
        <w:rPr>
          <w:sz w:val="20"/>
          <w:szCs w:val="20"/>
        </w:rPr>
      </w:pPr>
    </w:p>
    <w:p w14:paraId="01670B36"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Redondo Trigo</w:t>
      </w:r>
      <w:r w:rsidRPr="000B1075">
        <w:rPr>
          <w:sz w:val="20"/>
          <w:szCs w:val="20"/>
        </w:rPr>
        <w:t xml:space="preserve">, Francisco. “La nulidad del préstamo en operaciones de blanqueo de capitales”: </w:t>
      </w:r>
      <w:r w:rsidRPr="000B1075">
        <w:rPr>
          <w:i/>
          <w:sz w:val="20"/>
          <w:szCs w:val="20"/>
        </w:rPr>
        <w:t>Revista Crítica de Derecho Inmobiliario</w:t>
      </w:r>
      <w:r w:rsidRPr="000B1075">
        <w:rPr>
          <w:sz w:val="20"/>
          <w:szCs w:val="20"/>
        </w:rPr>
        <w:t xml:space="preserve">, ISSN 0210-0444, Año nº 98, Nº 791, 2022, págs. 1870-1885. </w:t>
      </w:r>
    </w:p>
    <w:p w14:paraId="6925BE1A" w14:textId="77777777" w:rsidR="00FD1E51" w:rsidRPr="000B1075" w:rsidRDefault="00FD1E51" w:rsidP="00FD1E51">
      <w:pPr>
        <w:pStyle w:val="Prrafodelista"/>
        <w:ind w:left="-348"/>
        <w:jc w:val="both"/>
        <w:rPr>
          <w:sz w:val="20"/>
          <w:szCs w:val="20"/>
        </w:rPr>
      </w:pPr>
    </w:p>
    <w:p w14:paraId="67FAE115"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Ruíz de Lara</w:t>
      </w:r>
      <w:r w:rsidRPr="000B1075">
        <w:rPr>
          <w:sz w:val="20"/>
          <w:szCs w:val="20"/>
        </w:rPr>
        <w:t xml:space="preserve">, Manuel.  “Análisis de la reciente Sentencia sobre el cártel de coches. Juzgado Mercantil 5 de Madrid. 7 de septiembre de 2022”: </w:t>
      </w:r>
      <w:r w:rsidRPr="000B1075">
        <w:rPr>
          <w:i/>
          <w:sz w:val="20"/>
          <w:szCs w:val="20"/>
        </w:rPr>
        <w:t>Revista Jurídica sobre Consumidores y Usuarios</w:t>
      </w:r>
      <w:r w:rsidRPr="000B1075">
        <w:rPr>
          <w:sz w:val="20"/>
          <w:szCs w:val="20"/>
        </w:rPr>
        <w:t xml:space="preserve">, Nº 12. Aspectos problemáticos del cártel de coches y camiones, Octubre 2022. </w:t>
      </w:r>
    </w:p>
    <w:p w14:paraId="1E99CEAE" w14:textId="77777777" w:rsidR="00FD1E51" w:rsidRPr="000B1075" w:rsidRDefault="00FD1E51" w:rsidP="00FD1E51">
      <w:pPr>
        <w:pStyle w:val="Prrafodelista"/>
        <w:ind w:left="-348"/>
        <w:jc w:val="both"/>
        <w:rPr>
          <w:sz w:val="20"/>
          <w:szCs w:val="20"/>
        </w:rPr>
      </w:pPr>
    </w:p>
    <w:p w14:paraId="0D9A99D8"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Sánchez Hernández</w:t>
      </w:r>
      <w:r w:rsidRPr="000B1075">
        <w:rPr>
          <w:sz w:val="20"/>
          <w:szCs w:val="20"/>
        </w:rPr>
        <w:t xml:space="preserve">, Carmen. “El garante vulnerable: ¿Nulidad por error o nulidad parcial por </w:t>
      </w:r>
      <w:proofErr w:type="spellStart"/>
      <w:r w:rsidRPr="000B1075">
        <w:rPr>
          <w:sz w:val="20"/>
          <w:szCs w:val="20"/>
        </w:rPr>
        <w:t>abusividad</w:t>
      </w:r>
      <w:proofErr w:type="spellEnd"/>
      <w:r w:rsidRPr="000B1075">
        <w:rPr>
          <w:sz w:val="20"/>
          <w:szCs w:val="20"/>
        </w:rPr>
        <w:t xml:space="preserve"> de la llamada “Cláusula de Afianzamiento”? Comentario a la Sentencia del Tribunal Supremo (Sala de lo Civil, Sección 1ª), núm. 745/2021, de 2 de noviembre”: </w:t>
      </w:r>
      <w:r w:rsidRPr="000B1075">
        <w:rPr>
          <w:i/>
          <w:sz w:val="20"/>
          <w:szCs w:val="20"/>
        </w:rPr>
        <w:t>Revista de estudios jurídicos</w:t>
      </w:r>
      <w:r w:rsidRPr="000B1075">
        <w:rPr>
          <w:sz w:val="20"/>
          <w:szCs w:val="20"/>
        </w:rPr>
        <w:t xml:space="preserve">, ISSN 1576-124X, Nº 22, 2022. </w:t>
      </w:r>
    </w:p>
    <w:p w14:paraId="7F0CA285" w14:textId="77777777" w:rsidR="00FD1E51" w:rsidRPr="000B1075" w:rsidRDefault="00FD1E51" w:rsidP="00FD1E51">
      <w:pPr>
        <w:pStyle w:val="Prrafodelista"/>
        <w:ind w:left="-348"/>
        <w:jc w:val="both"/>
        <w:rPr>
          <w:sz w:val="20"/>
          <w:szCs w:val="20"/>
        </w:rPr>
      </w:pPr>
    </w:p>
    <w:p w14:paraId="22C3CB38"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Santiago Isas</w:t>
      </w:r>
      <w:r w:rsidRPr="000B1075">
        <w:rPr>
          <w:sz w:val="20"/>
          <w:szCs w:val="20"/>
        </w:rPr>
        <w:t xml:space="preserve">, Alfredo. “El recargo por combustible (YQ) en los billetes aéreos como objeto de publicidad engañosa”: </w:t>
      </w:r>
      <w:r w:rsidRPr="000B1075">
        <w:rPr>
          <w:i/>
          <w:sz w:val="20"/>
          <w:szCs w:val="20"/>
        </w:rPr>
        <w:t>Revista de estudios jurídicos</w:t>
      </w:r>
      <w:r w:rsidRPr="000B1075">
        <w:rPr>
          <w:sz w:val="20"/>
          <w:szCs w:val="20"/>
        </w:rPr>
        <w:t xml:space="preserve">, ISSN 1576-124X, Nº 22, 2022. </w:t>
      </w:r>
    </w:p>
    <w:p w14:paraId="4C57E368"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Solé Feliu</w:t>
      </w:r>
      <w:r w:rsidRPr="000B1075">
        <w:rPr>
          <w:sz w:val="20"/>
          <w:szCs w:val="20"/>
        </w:rPr>
        <w:t xml:space="preserve">, Josep. “Estándar de diligencia médica y valor de los protocolos y guías de práctica clínica en la responsabilidad civil de los profesionales sanitarios”: </w:t>
      </w:r>
      <w:r w:rsidRPr="000B1075">
        <w:rPr>
          <w:i/>
          <w:sz w:val="20"/>
          <w:szCs w:val="20"/>
        </w:rPr>
        <w:t>Revista de Derecho Civil</w:t>
      </w:r>
      <w:r w:rsidRPr="000B1075">
        <w:rPr>
          <w:sz w:val="20"/>
          <w:szCs w:val="20"/>
        </w:rPr>
        <w:t xml:space="preserve">, ISSN 2341-2216, Vol. 9, Nº. 3 (julio-septiembre,), 2022, págs. 1-52. </w:t>
      </w:r>
    </w:p>
    <w:p w14:paraId="62BBF23B" w14:textId="77777777" w:rsidR="00FD1E51" w:rsidRPr="000B1075" w:rsidRDefault="00FD1E51" w:rsidP="00FD1E51">
      <w:pPr>
        <w:pStyle w:val="Prrafodelista"/>
        <w:ind w:left="-348"/>
        <w:jc w:val="both"/>
        <w:rPr>
          <w:sz w:val="20"/>
          <w:szCs w:val="20"/>
        </w:rPr>
      </w:pPr>
    </w:p>
    <w:p w14:paraId="5F48BF63"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Tisné Niemann</w:t>
      </w:r>
      <w:r w:rsidRPr="000B1075">
        <w:rPr>
          <w:sz w:val="20"/>
          <w:szCs w:val="20"/>
        </w:rPr>
        <w:t xml:space="preserve">, Jorge. “Alternativas de defensa del comprador a propósito del inadecuado aislamiento acústico de viviendas”: </w:t>
      </w:r>
      <w:r w:rsidRPr="000B1075">
        <w:rPr>
          <w:i/>
          <w:sz w:val="20"/>
          <w:szCs w:val="20"/>
        </w:rPr>
        <w:t>Revista de derecho</w:t>
      </w:r>
      <w:r w:rsidRPr="000B1075">
        <w:rPr>
          <w:sz w:val="20"/>
          <w:szCs w:val="20"/>
        </w:rPr>
        <w:t xml:space="preserve">, ISSN 0717-5345, Vol. 29, 2022. </w:t>
      </w:r>
    </w:p>
    <w:p w14:paraId="04E31FC5" w14:textId="77777777" w:rsidR="00FD1E51" w:rsidRPr="000B1075" w:rsidRDefault="00FD1E51" w:rsidP="00FD1E51">
      <w:pPr>
        <w:pStyle w:val="Prrafodelista"/>
        <w:ind w:left="-348"/>
        <w:jc w:val="both"/>
        <w:rPr>
          <w:sz w:val="20"/>
          <w:szCs w:val="20"/>
        </w:rPr>
      </w:pPr>
    </w:p>
    <w:p w14:paraId="18468423"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Torralbo Muñoz</w:t>
      </w:r>
      <w:r w:rsidRPr="000B1075">
        <w:rPr>
          <w:sz w:val="20"/>
          <w:szCs w:val="20"/>
        </w:rPr>
        <w:t xml:space="preserve">, Bartolomé. “Posibles modificaciones en la imprudencia médica por la introducción de la IA: un ejercicio de prognosis”: </w:t>
      </w:r>
      <w:r w:rsidRPr="000B1075">
        <w:rPr>
          <w:i/>
          <w:sz w:val="20"/>
          <w:szCs w:val="20"/>
        </w:rPr>
        <w:t>Revista jurídica de Castilla y León</w:t>
      </w:r>
      <w:r w:rsidRPr="000B1075">
        <w:rPr>
          <w:sz w:val="20"/>
          <w:szCs w:val="20"/>
        </w:rPr>
        <w:t xml:space="preserve">, ISSN 1696-6759, Nº. 58, 2022, págs. 127-150. </w:t>
      </w:r>
    </w:p>
    <w:p w14:paraId="6447F5B3" w14:textId="77777777" w:rsidR="00FD1E51" w:rsidRPr="000B1075" w:rsidRDefault="00FD1E51" w:rsidP="00FD1E51">
      <w:pPr>
        <w:pStyle w:val="Prrafodelista"/>
        <w:ind w:left="-348"/>
        <w:jc w:val="both"/>
        <w:rPr>
          <w:sz w:val="20"/>
          <w:szCs w:val="20"/>
        </w:rPr>
      </w:pPr>
    </w:p>
    <w:p w14:paraId="37A9BCB4"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Ureña Salcedo</w:t>
      </w:r>
      <w:r w:rsidRPr="000B1075">
        <w:rPr>
          <w:sz w:val="20"/>
          <w:szCs w:val="20"/>
        </w:rPr>
        <w:t xml:space="preserve">, Juan Antonio. “Las cotas más elevadas de ética en la Unión Bancaria Europea: Códigos y normas de conducta”: </w:t>
      </w:r>
      <w:r w:rsidRPr="000B1075">
        <w:rPr>
          <w:i/>
          <w:sz w:val="20"/>
          <w:szCs w:val="20"/>
        </w:rPr>
        <w:t>Revista de derecho bancario y bursátil</w:t>
      </w:r>
      <w:r w:rsidRPr="000B1075">
        <w:rPr>
          <w:sz w:val="20"/>
          <w:szCs w:val="20"/>
        </w:rPr>
        <w:t xml:space="preserve">, ISSN 0211-6138, Año nº 41, Nº 167, 2022, págs. 153-176. </w:t>
      </w:r>
    </w:p>
    <w:p w14:paraId="05B915B8" w14:textId="77777777" w:rsidR="00FD1E51" w:rsidRPr="000B1075" w:rsidRDefault="00FD1E51" w:rsidP="00FD1E51">
      <w:pPr>
        <w:pStyle w:val="Prrafodelista"/>
        <w:ind w:left="-348"/>
        <w:jc w:val="both"/>
        <w:rPr>
          <w:sz w:val="20"/>
          <w:szCs w:val="20"/>
        </w:rPr>
      </w:pPr>
    </w:p>
    <w:p w14:paraId="2882DC88"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Vallejo Ros</w:t>
      </w:r>
      <w:r w:rsidRPr="000B1075">
        <w:rPr>
          <w:sz w:val="20"/>
          <w:szCs w:val="20"/>
        </w:rPr>
        <w:t xml:space="preserve">, Cristina. “Cuestiones prácticas acerca del cártel de coches”: </w:t>
      </w:r>
      <w:r w:rsidRPr="000B1075">
        <w:rPr>
          <w:i/>
          <w:sz w:val="20"/>
          <w:szCs w:val="20"/>
        </w:rPr>
        <w:t>Revista Jurídica sobre Consumidores y Usuarios</w:t>
      </w:r>
      <w:r w:rsidRPr="000B1075">
        <w:rPr>
          <w:sz w:val="20"/>
          <w:szCs w:val="20"/>
        </w:rPr>
        <w:t xml:space="preserve">, Nº 12. Aspectos problemáticos del cártel de coches y camiones, Octubre 2022. </w:t>
      </w:r>
    </w:p>
    <w:p w14:paraId="3F531916" w14:textId="77777777" w:rsidR="00FD1E51" w:rsidRPr="000B1075" w:rsidRDefault="00FD1E51" w:rsidP="00FD1E51">
      <w:pPr>
        <w:pStyle w:val="Prrafodelista"/>
        <w:ind w:left="-348"/>
        <w:jc w:val="both"/>
        <w:rPr>
          <w:sz w:val="20"/>
          <w:szCs w:val="20"/>
        </w:rPr>
      </w:pPr>
    </w:p>
    <w:p w14:paraId="71F62600"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lastRenderedPageBreak/>
        <w:t>Vásquez Palma</w:t>
      </w:r>
      <w:r w:rsidRPr="000B1075">
        <w:rPr>
          <w:sz w:val="20"/>
          <w:szCs w:val="20"/>
        </w:rPr>
        <w:t xml:space="preserve">, María Fernanda. “Medios de tutela precontractual en el contrato de seguro: cuestionamiento del marco jurídico vigente”: </w:t>
      </w:r>
      <w:r w:rsidRPr="000B1075">
        <w:rPr>
          <w:i/>
          <w:sz w:val="20"/>
          <w:szCs w:val="20"/>
        </w:rPr>
        <w:t>Revista de derecho</w:t>
      </w:r>
      <w:r w:rsidRPr="000B1075">
        <w:rPr>
          <w:sz w:val="20"/>
          <w:szCs w:val="20"/>
        </w:rPr>
        <w:t xml:space="preserve">, ISSN 0717-5345, Vol. 29, 2022. </w:t>
      </w:r>
    </w:p>
    <w:p w14:paraId="0B1CB302" w14:textId="77777777" w:rsidR="00FD1E51" w:rsidRPr="000B1075" w:rsidRDefault="00FD1E51" w:rsidP="00FD1E51">
      <w:pPr>
        <w:pStyle w:val="Prrafodelista"/>
        <w:ind w:left="-348"/>
        <w:jc w:val="both"/>
        <w:rPr>
          <w:sz w:val="20"/>
          <w:szCs w:val="20"/>
        </w:rPr>
      </w:pPr>
    </w:p>
    <w:p w14:paraId="670C0181"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Vela Torres</w:t>
      </w:r>
      <w:r w:rsidRPr="000B1075">
        <w:rPr>
          <w:sz w:val="20"/>
          <w:szCs w:val="20"/>
        </w:rPr>
        <w:t xml:space="preserve">, Pedro José. “Préstamo Hipotecario. Nulidad de la cláusula suelo por falta de transparencia”: </w:t>
      </w:r>
      <w:r w:rsidRPr="000B1075">
        <w:rPr>
          <w:i/>
          <w:sz w:val="20"/>
          <w:szCs w:val="20"/>
        </w:rPr>
        <w:t>Diario La Ley</w:t>
      </w:r>
      <w:r w:rsidRPr="000B1075">
        <w:rPr>
          <w:sz w:val="20"/>
          <w:szCs w:val="20"/>
        </w:rPr>
        <w:t xml:space="preserve">, ISSN 1989-6913, Nº 10168, 2022. </w:t>
      </w:r>
    </w:p>
    <w:p w14:paraId="52A2B164" w14:textId="77777777" w:rsidR="00FD1E51" w:rsidRPr="000B1075" w:rsidRDefault="00FD1E51" w:rsidP="00FD1E51">
      <w:pPr>
        <w:pStyle w:val="Prrafodelista"/>
        <w:ind w:left="-348"/>
        <w:jc w:val="both"/>
        <w:rPr>
          <w:sz w:val="20"/>
          <w:szCs w:val="20"/>
        </w:rPr>
      </w:pPr>
    </w:p>
    <w:p w14:paraId="467C2903" w14:textId="77777777" w:rsidR="00FD1E51" w:rsidRPr="000B1075" w:rsidRDefault="00FD1E51" w:rsidP="00FD1E51">
      <w:pPr>
        <w:pStyle w:val="Prrafodelista"/>
        <w:numPr>
          <w:ilvl w:val="0"/>
          <w:numId w:val="10"/>
        </w:numPr>
        <w:ind w:left="360"/>
        <w:jc w:val="both"/>
        <w:rPr>
          <w:sz w:val="20"/>
          <w:szCs w:val="20"/>
        </w:rPr>
      </w:pPr>
      <w:r w:rsidRPr="000B1075">
        <w:rPr>
          <w:caps/>
          <w:sz w:val="20"/>
          <w:szCs w:val="20"/>
        </w:rPr>
        <w:t>Zaragoza Cano</w:t>
      </w:r>
      <w:r w:rsidRPr="000B1075">
        <w:rPr>
          <w:sz w:val="20"/>
          <w:szCs w:val="20"/>
        </w:rPr>
        <w:t xml:space="preserve">, Francisco. “La parte pasiva del proceso en la ejecución hipotecaria: intervinientes y cuestiones problemáticas”: </w:t>
      </w:r>
      <w:r w:rsidRPr="000B1075">
        <w:rPr>
          <w:i/>
          <w:sz w:val="20"/>
          <w:szCs w:val="20"/>
        </w:rPr>
        <w:t>Práctica de tribunales: revista de derecho procesal civil y mercantil</w:t>
      </w:r>
      <w:r w:rsidRPr="000B1075">
        <w:rPr>
          <w:sz w:val="20"/>
          <w:szCs w:val="20"/>
        </w:rPr>
        <w:t xml:space="preserve">, ISSN 1697-7068, Nº. 157, 2022. </w:t>
      </w:r>
    </w:p>
    <w:p w14:paraId="63334DE6" w14:textId="77777777" w:rsidR="00FD1E51" w:rsidRPr="00F475F0" w:rsidRDefault="00FD1E51" w:rsidP="00FD1E51">
      <w:pPr>
        <w:pStyle w:val="Prrafodelista"/>
        <w:ind w:left="697"/>
        <w:jc w:val="both"/>
        <w:rPr>
          <w:rFonts w:cstheme="minorHAnsi"/>
          <w:sz w:val="20"/>
          <w:szCs w:val="20"/>
        </w:rPr>
      </w:pPr>
    </w:p>
    <w:p w14:paraId="28B8A273" w14:textId="77777777" w:rsidR="00567AAA" w:rsidRDefault="00567AAA" w:rsidP="003F49BB">
      <w:pPr>
        <w:spacing w:beforeLines="100" w:before="240" w:afterLines="100" w:after="240"/>
        <w:jc w:val="center"/>
        <w:rPr>
          <w:sz w:val="16"/>
          <w:szCs w:val="16"/>
        </w:rPr>
      </w:pPr>
    </w:p>
    <w:p w14:paraId="4E3CD16B" w14:textId="77777777" w:rsidR="00567AAA" w:rsidRDefault="00567AAA" w:rsidP="003F49BB">
      <w:pPr>
        <w:spacing w:beforeLines="100" w:before="240" w:afterLines="100" w:after="240"/>
        <w:jc w:val="center"/>
        <w:rPr>
          <w:sz w:val="16"/>
          <w:szCs w:val="16"/>
        </w:rPr>
      </w:pPr>
    </w:p>
    <w:p w14:paraId="0E3AE631" w14:textId="77777777" w:rsidR="00567AAA" w:rsidRDefault="00567AAA" w:rsidP="003F49BB">
      <w:pPr>
        <w:spacing w:beforeLines="100" w:before="240" w:afterLines="100" w:after="240"/>
        <w:jc w:val="center"/>
        <w:rPr>
          <w:sz w:val="16"/>
          <w:szCs w:val="16"/>
        </w:rPr>
      </w:pPr>
    </w:p>
    <w:p w14:paraId="0E267EFC" w14:textId="77777777" w:rsidR="00567AAA" w:rsidRDefault="00567AAA" w:rsidP="009C07E8">
      <w:pPr>
        <w:spacing w:beforeLines="100" w:before="240" w:afterLines="100" w:after="240"/>
        <w:rPr>
          <w:sz w:val="16"/>
          <w:szCs w:val="16"/>
        </w:rPr>
      </w:pPr>
    </w:p>
    <w:p w14:paraId="5B3BB757" w14:textId="77777777" w:rsidR="009C07E8" w:rsidRDefault="009C07E8" w:rsidP="009C07E8">
      <w:pPr>
        <w:spacing w:beforeLines="100" w:before="240" w:afterLines="100" w:after="240"/>
        <w:rPr>
          <w:sz w:val="16"/>
          <w:szCs w:val="16"/>
        </w:rPr>
      </w:pPr>
    </w:p>
    <w:p w14:paraId="75E2506D" w14:textId="77777777" w:rsidR="00567AAA" w:rsidRDefault="00567AAA" w:rsidP="003F49BB">
      <w:pPr>
        <w:spacing w:beforeLines="100" w:before="240" w:afterLines="100" w:after="240"/>
        <w:jc w:val="center"/>
        <w:rPr>
          <w:sz w:val="16"/>
          <w:szCs w:val="16"/>
        </w:rPr>
      </w:pPr>
    </w:p>
    <w:p w14:paraId="06345F5C" w14:textId="77777777" w:rsidR="00567AAA" w:rsidRDefault="00567AAA" w:rsidP="003F49BB">
      <w:pPr>
        <w:spacing w:beforeLines="100" w:before="240" w:afterLines="100" w:after="240"/>
        <w:jc w:val="center"/>
        <w:rPr>
          <w:sz w:val="16"/>
          <w:szCs w:val="16"/>
        </w:rPr>
      </w:pPr>
    </w:p>
    <w:p w14:paraId="23158BE9" w14:textId="77777777" w:rsidR="00F475F0" w:rsidRDefault="00F475F0" w:rsidP="003F49BB">
      <w:pPr>
        <w:spacing w:beforeLines="100" w:before="240" w:afterLines="100" w:after="240"/>
        <w:jc w:val="center"/>
        <w:rPr>
          <w:sz w:val="16"/>
          <w:szCs w:val="16"/>
        </w:rPr>
      </w:pPr>
    </w:p>
    <w:p w14:paraId="0CA538B3" w14:textId="77777777" w:rsidR="00F475F0" w:rsidRDefault="00F475F0" w:rsidP="003F49BB">
      <w:pPr>
        <w:spacing w:beforeLines="100" w:before="240" w:afterLines="100" w:after="240"/>
        <w:jc w:val="center"/>
        <w:rPr>
          <w:sz w:val="16"/>
          <w:szCs w:val="16"/>
        </w:rPr>
      </w:pPr>
    </w:p>
    <w:p w14:paraId="397CD058" w14:textId="77777777" w:rsidR="00F475F0" w:rsidRDefault="00F475F0" w:rsidP="003F49BB">
      <w:pPr>
        <w:spacing w:beforeLines="100" w:before="240" w:afterLines="100" w:after="240"/>
        <w:jc w:val="center"/>
        <w:rPr>
          <w:sz w:val="16"/>
          <w:szCs w:val="16"/>
        </w:rPr>
      </w:pPr>
    </w:p>
    <w:p w14:paraId="045184FB" w14:textId="77777777" w:rsidR="00F475F0" w:rsidRDefault="00F475F0" w:rsidP="003F49BB">
      <w:pPr>
        <w:spacing w:beforeLines="100" w:before="240" w:afterLines="100" w:after="240"/>
        <w:jc w:val="center"/>
        <w:rPr>
          <w:sz w:val="16"/>
          <w:szCs w:val="16"/>
        </w:rPr>
      </w:pPr>
    </w:p>
    <w:p w14:paraId="46674FD3" w14:textId="77777777" w:rsidR="00F475F0" w:rsidRDefault="00F475F0" w:rsidP="003F49BB">
      <w:pPr>
        <w:spacing w:beforeLines="100" w:before="240" w:afterLines="100" w:after="240"/>
        <w:jc w:val="center"/>
        <w:rPr>
          <w:sz w:val="16"/>
          <w:szCs w:val="16"/>
        </w:rPr>
      </w:pPr>
    </w:p>
    <w:p w14:paraId="046E25CD" w14:textId="77777777" w:rsidR="00F475F0" w:rsidRDefault="00F475F0" w:rsidP="003F49BB">
      <w:pPr>
        <w:spacing w:beforeLines="100" w:before="240" w:afterLines="100" w:after="240"/>
        <w:jc w:val="center"/>
        <w:rPr>
          <w:sz w:val="16"/>
          <w:szCs w:val="16"/>
        </w:rPr>
      </w:pPr>
    </w:p>
    <w:p w14:paraId="10ACDC47" w14:textId="77777777" w:rsidR="00F475F0" w:rsidRDefault="00F475F0" w:rsidP="003F49BB">
      <w:pPr>
        <w:spacing w:beforeLines="100" w:before="240" w:afterLines="100" w:after="240"/>
        <w:jc w:val="center"/>
        <w:rPr>
          <w:sz w:val="16"/>
          <w:szCs w:val="16"/>
        </w:rPr>
      </w:pPr>
    </w:p>
    <w:p w14:paraId="528B491D" w14:textId="77777777" w:rsidR="00F475F0" w:rsidRDefault="00F475F0" w:rsidP="003F49BB">
      <w:pPr>
        <w:spacing w:beforeLines="100" w:before="240" w:afterLines="100" w:after="240"/>
        <w:jc w:val="center"/>
        <w:rPr>
          <w:sz w:val="16"/>
          <w:szCs w:val="16"/>
        </w:rPr>
      </w:pPr>
    </w:p>
    <w:p w14:paraId="18C59286" w14:textId="77777777" w:rsidR="00F475F0" w:rsidRDefault="00F475F0" w:rsidP="003F49BB">
      <w:pPr>
        <w:spacing w:beforeLines="100" w:before="240" w:afterLines="100" w:after="240"/>
        <w:jc w:val="center"/>
        <w:rPr>
          <w:sz w:val="16"/>
          <w:szCs w:val="16"/>
        </w:rPr>
      </w:pPr>
    </w:p>
    <w:p w14:paraId="25B4F097" w14:textId="77777777" w:rsidR="00FD1E51" w:rsidRDefault="00FD1E51" w:rsidP="003F49BB">
      <w:pPr>
        <w:spacing w:beforeLines="100" w:before="240" w:afterLines="100" w:after="240"/>
        <w:jc w:val="center"/>
        <w:rPr>
          <w:sz w:val="16"/>
          <w:szCs w:val="16"/>
        </w:rPr>
      </w:pPr>
    </w:p>
    <w:p w14:paraId="297E8605" w14:textId="77777777" w:rsidR="00FD1E51" w:rsidRDefault="00FD1E51" w:rsidP="003F49BB">
      <w:pPr>
        <w:spacing w:beforeLines="100" w:before="240" w:afterLines="100" w:after="240"/>
        <w:jc w:val="center"/>
        <w:rPr>
          <w:sz w:val="16"/>
          <w:szCs w:val="16"/>
        </w:rPr>
      </w:pPr>
    </w:p>
    <w:p w14:paraId="75E82FA3" w14:textId="77777777" w:rsidR="00FD1E51" w:rsidRDefault="00FD1E51" w:rsidP="003F49BB">
      <w:pPr>
        <w:spacing w:beforeLines="100" w:before="240" w:afterLines="100" w:after="240"/>
        <w:jc w:val="center"/>
        <w:rPr>
          <w:sz w:val="16"/>
          <w:szCs w:val="16"/>
        </w:rPr>
      </w:pPr>
    </w:p>
    <w:p w14:paraId="6FD861D5" w14:textId="77777777" w:rsidR="00FD1E51" w:rsidRDefault="00FD1E51" w:rsidP="003F49BB">
      <w:pPr>
        <w:spacing w:beforeLines="100" w:before="240" w:afterLines="100" w:after="240"/>
        <w:jc w:val="center"/>
        <w:rPr>
          <w:sz w:val="16"/>
          <w:szCs w:val="16"/>
        </w:rPr>
      </w:pPr>
    </w:p>
    <w:p w14:paraId="154C45DD" w14:textId="77777777" w:rsidR="00FD1E51" w:rsidRDefault="00FD1E51" w:rsidP="003F49BB">
      <w:pPr>
        <w:spacing w:beforeLines="100" w:before="240" w:afterLines="100" w:after="240"/>
        <w:jc w:val="center"/>
        <w:rPr>
          <w:sz w:val="16"/>
          <w:szCs w:val="16"/>
        </w:rPr>
      </w:pPr>
    </w:p>
    <w:p w14:paraId="6774DC87" w14:textId="77777777" w:rsidR="00567AAA" w:rsidRDefault="00567AAA" w:rsidP="003F49BB">
      <w:pPr>
        <w:spacing w:beforeLines="100" w:before="240" w:afterLines="100" w:after="240"/>
        <w:jc w:val="center"/>
        <w:rPr>
          <w:sz w:val="16"/>
          <w:szCs w:val="16"/>
        </w:rPr>
      </w:pPr>
    </w:p>
    <w:p w14:paraId="73DED83D" w14:textId="77777777" w:rsidR="003F49BB" w:rsidRPr="003F49BB" w:rsidRDefault="003F49BB" w:rsidP="003F49BB">
      <w:pPr>
        <w:spacing w:beforeLines="100" w:before="240" w:afterLines="100" w:after="240"/>
        <w:jc w:val="center"/>
        <w:rPr>
          <w:sz w:val="16"/>
          <w:szCs w:val="16"/>
        </w:rPr>
      </w:pPr>
      <w:r w:rsidRPr="003F49BB">
        <w:rPr>
          <w:sz w:val="16"/>
          <w:szCs w:val="16"/>
        </w:rPr>
        <w:t>Si algún autor, profesional o investigador conoce la publicación de algún trabajo sobre Derecho y consumo, puede facilitarnos la referencia para publicarlo dentro del presente in</w:t>
      </w:r>
      <w:r>
        <w:rPr>
          <w:sz w:val="16"/>
          <w:szCs w:val="16"/>
        </w:rPr>
        <w:t xml:space="preserve">forme, </w:t>
      </w:r>
      <w:r w:rsidRPr="003F49BB">
        <w:rPr>
          <w:sz w:val="16"/>
          <w:szCs w:val="16"/>
        </w:rPr>
        <w:t>en el periodo correspondiente.</w:t>
      </w:r>
    </w:p>
    <w:sectPr w:rsidR="003F49BB" w:rsidRPr="003F49BB" w:rsidSect="000562B1">
      <w:footerReference w:type="default" r:id="rId10"/>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2A0E7" w14:textId="77777777" w:rsidR="00CB6D1E" w:rsidRDefault="00CB6D1E" w:rsidP="000562B1">
      <w:pPr>
        <w:spacing w:after="0" w:line="240" w:lineRule="auto"/>
      </w:pPr>
      <w:r>
        <w:separator/>
      </w:r>
    </w:p>
  </w:endnote>
  <w:endnote w:type="continuationSeparator" w:id="0">
    <w:p w14:paraId="23863FAB" w14:textId="77777777" w:rsidR="00CB6D1E" w:rsidRDefault="00CB6D1E"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FD1E51">
          <w:rPr>
            <w:rFonts w:cstheme="minorHAnsi"/>
            <w:noProof/>
          </w:rPr>
          <w:t>5</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9716B" w14:textId="77777777" w:rsidR="00CB6D1E" w:rsidRDefault="00CB6D1E" w:rsidP="000562B1">
      <w:pPr>
        <w:spacing w:after="0" w:line="240" w:lineRule="auto"/>
      </w:pPr>
      <w:r>
        <w:separator/>
      </w:r>
    </w:p>
  </w:footnote>
  <w:footnote w:type="continuationSeparator" w:id="0">
    <w:p w14:paraId="6D33EDE4" w14:textId="77777777" w:rsidR="00CB6D1E" w:rsidRDefault="00CB6D1E" w:rsidP="00056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CB0E10"/>
    <w:multiLevelType w:val="hybridMultilevel"/>
    <w:tmpl w:val="4638664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8C651F6"/>
    <w:multiLevelType w:val="hybridMultilevel"/>
    <w:tmpl w:val="373EAE1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FF4221C"/>
    <w:multiLevelType w:val="hybridMultilevel"/>
    <w:tmpl w:val="AB76505C"/>
    <w:lvl w:ilvl="0" w:tplc="45FE9F5A">
      <w:start w:val="1"/>
      <w:numFmt w:val="bullet"/>
      <w:lvlText w:val="-"/>
      <w:lvlJc w:val="left"/>
      <w:pPr>
        <w:ind w:left="1068" w:hanging="360"/>
      </w:pPr>
      <w:rPr>
        <w:rFonts w:ascii="Calibri" w:hAnsi="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88112346">
    <w:abstractNumId w:val="10"/>
  </w:num>
  <w:num w:numId="2" w16cid:durableId="2004123486">
    <w:abstractNumId w:val="0"/>
  </w:num>
  <w:num w:numId="3" w16cid:durableId="1107768998">
    <w:abstractNumId w:val="9"/>
  </w:num>
  <w:num w:numId="4" w16cid:durableId="893539698">
    <w:abstractNumId w:val="5"/>
  </w:num>
  <w:num w:numId="5" w16cid:durableId="175272701">
    <w:abstractNumId w:val="2"/>
  </w:num>
  <w:num w:numId="6" w16cid:durableId="1486822057">
    <w:abstractNumId w:val="3"/>
  </w:num>
  <w:num w:numId="7" w16cid:durableId="1136336264">
    <w:abstractNumId w:val="6"/>
  </w:num>
  <w:num w:numId="8" w16cid:durableId="978920042">
    <w:abstractNumId w:val="4"/>
  </w:num>
  <w:num w:numId="9" w16cid:durableId="80806907">
    <w:abstractNumId w:val="1"/>
  </w:num>
  <w:num w:numId="10" w16cid:durableId="327755865">
    <w:abstractNumId w:val="8"/>
  </w:num>
  <w:num w:numId="11" w16cid:durableId="9023259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20F4E"/>
    <w:rsid w:val="000562B1"/>
    <w:rsid w:val="0012310A"/>
    <w:rsid w:val="001342BF"/>
    <w:rsid w:val="0017035A"/>
    <w:rsid w:val="00181687"/>
    <w:rsid w:val="001A3DC8"/>
    <w:rsid w:val="001B39D6"/>
    <w:rsid w:val="001E467C"/>
    <w:rsid w:val="00226C2F"/>
    <w:rsid w:val="002321F9"/>
    <w:rsid w:val="0024425F"/>
    <w:rsid w:val="002920B4"/>
    <w:rsid w:val="002C3D5D"/>
    <w:rsid w:val="00326C94"/>
    <w:rsid w:val="003662F8"/>
    <w:rsid w:val="003A1A16"/>
    <w:rsid w:val="003C5AFC"/>
    <w:rsid w:val="003C79EE"/>
    <w:rsid w:val="003C7E66"/>
    <w:rsid w:val="003E66AA"/>
    <w:rsid w:val="003F49BB"/>
    <w:rsid w:val="003F4BCA"/>
    <w:rsid w:val="00410FE1"/>
    <w:rsid w:val="00414357"/>
    <w:rsid w:val="004158D3"/>
    <w:rsid w:val="00467E42"/>
    <w:rsid w:val="00474518"/>
    <w:rsid w:val="004C5AA1"/>
    <w:rsid w:val="004D794A"/>
    <w:rsid w:val="0051297C"/>
    <w:rsid w:val="005524C4"/>
    <w:rsid w:val="005527B0"/>
    <w:rsid w:val="00567AAA"/>
    <w:rsid w:val="005B7019"/>
    <w:rsid w:val="005E340F"/>
    <w:rsid w:val="005F0DEC"/>
    <w:rsid w:val="005F1DFB"/>
    <w:rsid w:val="005F3752"/>
    <w:rsid w:val="00633110"/>
    <w:rsid w:val="00656A1A"/>
    <w:rsid w:val="00673A7C"/>
    <w:rsid w:val="006B172C"/>
    <w:rsid w:val="007834BC"/>
    <w:rsid w:val="007C2FE3"/>
    <w:rsid w:val="00816AAB"/>
    <w:rsid w:val="008251E3"/>
    <w:rsid w:val="00827C04"/>
    <w:rsid w:val="00846866"/>
    <w:rsid w:val="008D2AC3"/>
    <w:rsid w:val="008D6849"/>
    <w:rsid w:val="00916F83"/>
    <w:rsid w:val="00923CBC"/>
    <w:rsid w:val="0093649B"/>
    <w:rsid w:val="009432D4"/>
    <w:rsid w:val="00952BF5"/>
    <w:rsid w:val="009C07E8"/>
    <w:rsid w:val="009E7932"/>
    <w:rsid w:val="00A00862"/>
    <w:rsid w:val="00A178D6"/>
    <w:rsid w:val="00A21DDE"/>
    <w:rsid w:val="00A4262A"/>
    <w:rsid w:val="00A535EC"/>
    <w:rsid w:val="00A95CE0"/>
    <w:rsid w:val="00AB05F9"/>
    <w:rsid w:val="00B00158"/>
    <w:rsid w:val="00B03532"/>
    <w:rsid w:val="00B065EF"/>
    <w:rsid w:val="00B40032"/>
    <w:rsid w:val="00B42623"/>
    <w:rsid w:val="00B44604"/>
    <w:rsid w:val="00B55B74"/>
    <w:rsid w:val="00B917BF"/>
    <w:rsid w:val="00BE3615"/>
    <w:rsid w:val="00C41A52"/>
    <w:rsid w:val="00C45C39"/>
    <w:rsid w:val="00C660D0"/>
    <w:rsid w:val="00C67BF4"/>
    <w:rsid w:val="00C67C8B"/>
    <w:rsid w:val="00C73ED8"/>
    <w:rsid w:val="00C943B2"/>
    <w:rsid w:val="00C97832"/>
    <w:rsid w:val="00CB0586"/>
    <w:rsid w:val="00CB6D1E"/>
    <w:rsid w:val="00CE63DC"/>
    <w:rsid w:val="00D364FB"/>
    <w:rsid w:val="00D37249"/>
    <w:rsid w:val="00D827B7"/>
    <w:rsid w:val="00DA30E6"/>
    <w:rsid w:val="00DC326F"/>
    <w:rsid w:val="00E37172"/>
    <w:rsid w:val="00E53C19"/>
    <w:rsid w:val="00E618E3"/>
    <w:rsid w:val="00E7533D"/>
    <w:rsid w:val="00E843AB"/>
    <w:rsid w:val="00E86324"/>
    <w:rsid w:val="00EE05FD"/>
    <w:rsid w:val="00F475F0"/>
    <w:rsid w:val="00FA6DED"/>
    <w:rsid w:val="00FD1E51"/>
    <w:rsid w:val="00FD741E"/>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F9BF5"/>
  <w15:docId w15:val="{8EA51807-69A2-4B38-91D4-513322212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22A12-8889-43B1-958A-C2583155B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1860</Words>
  <Characters>10233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VICTOR BASTANTE GRANELL</cp:lastModifiedBy>
  <cp:revision>2</cp:revision>
  <cp:lastPrinted>2022-04-06T09:16:00Z</cp:lastPrinted>
  <dcterms:created xsi:type="dcterms:W3CDTF">2023-01-26T18:00:00Z</dcterms:created>
  <dcterms:modified xsi:type="dcterms:W3CDTF">2023-01-26T18:00:00Z</dcterms:modified>
</cp:coreProperties>
</file>